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仿宋" w:hAnsi="仿宋" w:eastAsia="仿宋" w:cs="仿宋"/>
          <w:color w:val="000000"/>
          <w:sz w:val="72"/>
          <w:szCs w:val="72"/>
        </w:rPr>
      </w:pPr>
      <w:bookmarkStart w:id="1" w:name="_Toc15396475"/>
      <w:bookmarkStart w:id="2" w:name="_Toc15378441"/>
      <w:bookmarkStart w:id="3" w:name="_Toc15377193"/>
      <w:bookmarkStart w:id="4" w:name="_Toc15377425"/>
      <w:bookmarkStart w:id="5" w:name="_Toc15396597"/>
      <w:r>
        <w:rPr>
          <w:rFonts w:hint="eastAsia" w:ascii="仿宋" w:hAnsi="仿宋" w:eastAsia="仿宋" w:cs="仿宋"/>
          <w:color w:val="000000"/>
          <w:sz w:val="52"/>
          <w:szCs w:val="52"/>
        </w:rPr>
        <w:t>2021年度</w:t>
      </w:r>
      <w:bookmarkEnd w:id="1"/>
      <w:bookmarkEnd w:id="2"/>
      <w:bookmarkEnd w:id="3"/>
      <w:bookmarkEnd w:id="4"/>
      <w:bookmarkEnd w:id="5"/>
    </w:p>
    <w:bookmarkEnd w:id="0"/>
    <w:p>
      <w:pPr>
        <w:adjustRightInd w:val="0"/>
        <w:snapToGrid w:val="0"/>
        <w:spacing w:line="360" w:lineRule="auto"/>
        <w:jc w:val="center"/>
        <w:outlineLvl w:val="0"/>
        <w:rPr>
          <w:rFonts w:hint="eastAsia" w:ascii="仿宋" w:hAnsi="仿宋" w:eastAsia="仿宋" w:cs="仿宋"/>
          <w:color w:val="000000"/>
          <w:sz w:val="52"/>
          <w:szCs w:val="52"/>
        </w:rPr>
      </w:pPr>
      <w:bookmarkStart w:id="6" w:name="_Toc15306268"/>
      <w:bookmarkStart w:id="7" w:name="_Toc15396476"/>
      <w:bookmarkStart w:id="8" w:name="_Toc15378442"/>
      <w:bookmarkStart w:id="9" w:name="_Toc15377194"/>
      <w:bookmarkStart w:id="10" w:name="_Toc15396598"/>
      <w:bookmarkStart w:id="11" w:name="_Toc15377426"/>
      <w:r>
        <w:rPr>
          <w:rFonts w:hint="eastAsia" w:ascii="仿宋" w:hAnsi="仿宋" w:eastAsia="仿宋" w:cs="仿宋"/>
          <w:color w:val="000000"/>
          <w:sz w:val="52"/>
          <w:szCs w:val="52"/>
        </w:rPr>
        <w:t>凉山州林业调查规划设计院决算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w:t>
      </w:r>
      <w:r>
        <w:rPr>
          <w:rStyle w:val="15"/>
          <w:rFonts w:hint="eastAsia"/>
        </w:rPr>
        <w:t>2021年度部门决算情况说明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Fonts w:hint="eastAsia"/>
        </w:rPr>
        <w:t>八</w:t>
      </w:r>
      <w:r>
        <w:rPr>
          <w:rStyle w:val="15"/>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rPr>
          <w:rFonts w:hint="eastAsia"/>
        </w:rPr>
        <w:t>23</w:t>
      </w:r>
      <w:r>
        <w:rPr>
          <w:rFonts w:hint="eastAsia"/>
        </w:rP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24</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我单位是财政差额拨款的公益二类事业单位。主要从事森林资源、生物多样性调查，林业规划设计、监理、咨询、可行性论证，森林资源监测、林权勘验、资产评估，自然保护区、林木种苗规划设计等工作。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（二）2021年重点工作完成情况。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highlight w:val="yellow"/>
        </w:rPr>
      </w:pPr>
      <w:r>
        <w:rPr>
          <w:rFonts w:hint="eastAsia" w:ascii="仿宋" w:hAnsi="仿宋" w:eastAsia="仿宋"/>
          <w:bCs/>
          <w:color w:val="000000"/>
          <w:sz w:val="32"/>
          <w:szCs w:val="32"/>
        </w:rPr>
        <w:t>今年我单位主要完成昭觉县林草局2020年集体公益林生态效益补偿实施方案、2021年自然保护地及周边建设项目核查服务、金阳县百草坡自然保护区森林防火道路、盐源县森林草原防灭火道路、四川水电美姑电力有限公司输电线路通道火灾隐患林木清理、德昌县茨达镇大陆槽村森林草原防灭火通道、德昌县林草湿数据及第三次全国国土调查、喜德县林草湿数据及第三次全国国土调查、乐西高速保护树种移栽方案、冕宁县森林防火通道、盐源县甘家村通村公路使用林地、昭觉县通村公路外业调查、甘洛县森林经营方案编制等项目，</w:t>
      </w:r>
      <w:r>
        <w:rPr>
          <w:rFonts w:hint="eastAsia" w:ascii="仿宋" w:hAnsi="仿宋" w:eastAsia="仿宋"/>
          <w:bCs/>
          <w:color w:val="000000"/>
          <w:sz w:val="32"/>
          <w:szCs w:val="32"/>
          <w:highlight w:val="none"/>
        </w:rPr>
        <w:t>同时积极参与木里县列瓦镇乡村振兴工作。</w:t>
      </w:r>
    </w:p>
    <w:p>
      <w:pPr>
        <w:pStyle w:val="3"/>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我单位为财政差额拨款的独立核算的一级单位。设有党务人事处、监察室、财务处、行政办公室、总工办、生态监测中心办公室、生产经营处、林业调查测绘所、林业规划设计所9个部门。2021年底在职职工100人。</w:t>
      </w:r>
    </w:p>
    <w:p>
      <w:pPr>
        <w:widowControl/>
        <w:jc w:val="left"/>
        <w:rPr>
          <w:rFonts w:ascii="黑体" w:hAnsi="黑体" w:eastAsia="黑体"/>
          <w:color w:val="000000"/>
        </w:rPr>
      </w:pPr>
      <w:r>
        <w:rPr>
          <w:rFonts w:ascii="仿宋" w:hAnsi="仿宋" w:eastAsia="仿宋"/>
          <w:color w:val="000000"/>
          <w:sz w:val="32"/>
          <w:szCs w:val="32"/>
        </w:rPr>
        <w:br w:type="page"/>
      </w:r>
      <w:bookmarkStart w:id="22" w:name="_Toc15377204"/>
      <w:bookmarkStart w:id="23" w:name="_Toc15396602"/>
      <w:r>
        <w:rPr>
          <w:rFonts w:hint="eastAsia" w:ascii="黑体" w:hAnsi="黑体" w:eastAsia="黑体"/>
          <w:color w:val="000000"/>
        </w:rPr>
        <w:t>第二部分</w:t>
      </w:r>
    </w:p>
    <w:p>
      <w:pPr>
        <w:widowControl/>
        <w:jc w:val="left"/>
        <w:rPr>
          <w:rStyle w:val="24"/>
          <w:rFonts w:ascii="仿宋" w:hAnsi="仿宋" w:eastAsia="仿宋"/>
          <w:b w:val="0"/>
          <w:bCs w:val="0"/>
          <w:color w:val="000000"/>
          <w:kern w:val="0"/>
          <w:sz w:val="32"/>
          <w:szCs w:val="32"/>
        </w:rPr>
      </w:pPr>
      <w:r>
        <w:rPr>
          <w:rFonts w:hint="eastAsia" w:ascii="黑体" w:hAnsi="黑体" w:eastAsia="黑体"/>
          <w:color w:val="000000"/>
        </w:rPr>
        <w:t xml:space="preserve"> </w:t>
      </w:r>
      <w:r>
        <w:rPr>
          <w:rFonts w:ascii="黑体" w:hAnsi="黑体" w:eastAsia="黑体"/>
          <w:color w:val="000000"/>
        </w:rPr>
        <w:t xml:space="preserve">         </w:t>
      </w:r>
      <w:r>
        <w:rPr>
          <w:rStyle w:val="24"/>
          <w:rFonts w:hint="eastAsia" w:ascii="黑体" w:hAnsi="黑体" w:eastAsia="黑体"/>
          <w:b w:val="0"/>
          <w:bCs w:val="0"/>
        </w:rPr>
        <w:t>2021年度部门决算情况说明</w:t>
      </w:r>
      <w:bookmarkEnd w:id="22"/>
      <w:bookmarkEnd w:id="23"/>
    </w:p>
    <w:p/>
    <w:p>
      <w:pPr>
        <w:pStyle w:val="23"/>
        <w:numPr>
          <w:ilvl w:val="0"/>
          <w:numId w:val="1"/>
        </w:numPr>
        <w:spacing w:line="600" w:lineRule="exact"/>
        <w:ind w:left="930" w:leftChars="0" w:firstLineChars="0"/>
        <w:outlineLvl w:val="1"/>
        <w:rPr>
          <w:rStyle w:val="2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2021年度收入2435.17万元，其中财政拨款收入2330.23万元；支出2749.56万元，其中基本支出1987.17万元，项目支出762.4万元。与2020年相比，收入增加165.67万，上涨7.5</w:t>
      </w:r>
      <w:r>
        <w:rPr>
          <w:rFonts w:ascii="仿宋" w:hAnsi="仿宋" w:eastAsia="仿宋"/>
          <w:color w:val="000000"/>
          <w:sz w:val="32"/>
          <w:szCs w:val="32"/>
        </w:rPr>
        <w:t>%</w:t>
      </w:r>
      <w:r>
        <w:rPr>
          <w:rFonts w:hint="eastAsia" w:ascii="仿宋" w:hAnsi="仿宋" w:eastAsia="仿宋"/>
          <w:color w:val="000000"/>
          <w:sz w:val="32"/>
          <w:szCs w:val="32"/>
        </w:rPr>
        <w:t>。主要变动原因是我单位为差额拨款事业单位，财政拨款70%，另外30%通过开展经营活动弥补。由于我单位签订项目数量增加，收入有所上升。基本支出增加是因为工资绩效上调，及新进人员较多。</w:t>
      </w: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59264" behindDoc="0" locked="0" layoutInCell="1" allowOverlap="1">
            <wp:simplePos x="0" y="0"/>
            <wp:positionH relativeFrom="column">
              <wp:posOffset>404495</wp:posOffset>
            </wp:positionH>
            <wp:positionV relativeFrom="paragraph">
              <wp:posOffset>52070</wp:posOffset>
            </wp:positionV>
            <wp:extent cx="4518660" cy="3330575"/>
            <wp:effectExtent l="4445" t="4445" r="10795" b="177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drawing>
          <wp:anchor distT="0" distB="0" distL="114300" distR="114300" simplePos="0" relativeHeight="251660288" behindDoc="0" locked="0" layoutInCell="1" allowOverlap="1">
            <wp:simplePos x="0" y="0"/>
            <wp:positionH relativeFrom="column">
              <wp:posOffset>410845</wp:posOffset>
            </wp:positionH>
            <wp:positionV relativeFrom="paragraph">
              <wp:posOffset>-3024505</wp:posOffset>
            </wp:positionV>
            <wp:extent cx="4861560" cy="3315335"/>
            <wp:effectExtent l="4445" t="4445" r="10795" b="1397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3"/>
        <w:numPr>
          <w:ilvl w:val="0"/>
          <w:numId w:val="1"/>
        </w:numPr>
        <w:spacing w:line="600" w:lineRule="exact"/>
        <w:ind w:left="930" w:leftChars="0"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t>2021年本年收入合计2435.17万元，其中：一般公共预算财政拨款收入2330.23万元，占95.7</w:t>
      </w:r>
      <w:r>
        <w:rPr>
          <w:rFonts w:ascii="仿宋" w:hAnsi="仿宋" w:eastAsia="仿宋"/>
          <w:color w:val="000000"/>
          <w:sz w:val="32"/>
          <w:szCs w:val="32"/>
        </w:rPr>
        <w:t>%</w:t>
      </w:r>
      <w:r>
        <w:rPr>
          <w:rFonts w:hint="eastAsia" w:ascii="仿宋" w:hAnsi="仿宋" w:eastAsia="仿宋"/>
          <w:color w:val="000000"/>
          <w:sz w:val="32"/>
          <w:szCs w:val="32"/>
        </w:rPr>
        <w:t>；其他收入104.94万元，占4.3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1312" behindDoc="0" locked="0" layoutInCell="1" allowOverlap="1">
            <wp:simplePos x="0" y="0"/>
            <wp:positionH relativeFrom="column">
              <wp:posOffset>420370</wp:posOffset>
            </wp:positionH>
            <wp:positionV relativeFrom="paragraph">
              <wp:posOffset>42545</wp:posOffset>
            </wp:positionV>
            <wp:extent cx="4471035" cy="2667635"/>
            <wp:effectExtent l="4445" t="4445" r="20320" b="1397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outlineLvl w:val="1"/>
        <w:rPr>
          <w:rFonts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left="930" w:leftChars="0" w:firstLineChars="0"/>
        <w:outlineLvl w:val="1"/>
        <w:rPr>
          <w:rFonts w:ascii="黑体" w:hAnsi="黑体" w:eastAsia="黑体"/>
          <w:color w:val="000000"/>
          <w:sz w:val="32"/>
          <w:szCs w:val="32"/>
          <w:highlight w:val="none"/>
        </w:rPr>
      </w:pPr>
      <w:bookmarkStart w:id="28" w:name="_Toc15396605"/>
      <w:bookmarkStart w:id="29" w:name="_Toc15377207"/>
      <w:r>
        <w:rPr>
          <w:rFonts w:hint="eastAsia" w:ascii="黑体" w:hAnsi="黑体" w:eastAsia="黑体"/>
          <w:color w:val="000000"/>
          <w:sz w:val="32"/>
          <w:szCs w:val="32"/>
          <w:highlight w:val="none"/>
        </w:rPr>
        <w:t>支</w:t>
      </w:r>
      <w:r>
        <w:rPr>
          <w:rStyle w:val="25"/>
          <w:rFonts w:hint="eastAsia" w:ascii="黑体" w:hAnsi="黑体" w:eastAsia="黑体"/>
          <w:bCs w:val="0"/>
          <w:highlight w:val="none"/>
        </w:rPr>
        <w:t>出决算情况说明</w:t>
      </w:r>
      <w:bookmarkEnd w:id="28"/>
      <w:bookmarkEnd w:id="29"/>
    </w:p>
    <w:p>
      <w:pPr>
        <w:pStyle w:val="23"/>
        <w:spacing w:line="600" w:lineRule="exact"/>
        <w:ind w:left="640" w:firstLine="640"/>
        <w:outlineLvl w:val="1"/>
        <w:rPr>
          <w:rFonts w:ascii="仿宋" w:hAnsi="仿宋" w:eastAsia="仿宋"/>
          <w:color w:val="000000"/>
          <w:sz w:val="32"/>
          <w:szCs w:val="32"/>
        </w:rPr>
      </w:pPr>
      <w:r>
        <w:rPr>
          <w:rFonts w:hint="eastAsia" w:ascii="仿宋" w:hAnsi="仿宋" w:eastAsia="仿宋"/>
          <w:color w:val="000000"/>
          <w:sz w:val="32"/>
          <w:szCs w:val="32"/>
        </w:rPr>
        <w:t>2021年本年支出合计2749.56万元，其中：基本支出1987.17万元，占72.27</w:t>
      </w:r>
      <w:r>
        <w:rPr>
          <w:rFonts w:ascii="仿宋" w:hAnsi="仿宋" w:eastAsia="仿宋"/>
          <w:color w:val="000000"/>
          <w:sz w:val="32"/>
          <w:szCs w:val="32"/>
        </w:rPr>
        <w:t>%</w:t>
      </w:r>
      <w:r>
        <w:rPr>
          <w:rFonts w:hint="eastAsia" w:ascii="仿宋" w:hAnsi="仿宋" w:eastAsia="仿宋"/>
          <w:color w:val="000000"/>
          <w:sz w:val="32"/>
          <w:szCs w:val="32"/>
        </w:rPr>
        <w:t>；项目支出762.4万元，占27.73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-2414905</wp:posOffset>
            </wp:positionV>
            <wp:extent cx="4384675" cy="2705735"/>
            <wp:effectExtent l="4445" t="4445" r="11430" b="1397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numPr>
          <w:ilvl w:val="0"/>
          <w:numId w:val="1"/>
        </w:numPr>
        <w:spacing w:line="600" w:lineRule="exact"/>
        <w:ind w:left="930" w:leftChars="0" w:firstLineChars="0"/>
        <w:outlineLvl w:val="1"/>
        <w:rPr>
          <w:rStyle w:val="25"/>
          <w:rFonts w:ascii="黑体" w:hAnsi="黑体" w:eastAsia="黑体"/>
          <w:b w:val="0"/>
        </w:rPr>
      </w:pPr>
      <w:bookmarkStart w:id="30" w:name="_Toc15377208"/>
      <w:bookmarkStart w:id="31" w:name="_Toc15396606"/>
      <w:r>
        <w:rPr>
          <w:rFonts w:hint="eastAsia" w:ascii="黑体" w:hAnsi="黑体" w:eastAsia="黑体"/>
          <w:color w:val="000000"/>
          <w:sz w:val="32"/>
          <w:szCs w:val="32"/>
        </w:rPr>
        <w:t>财</w:t>
      </w:r>
      <w:r>
        <w:rPr>
          <w:rStyle w:val="25"/>
          <w:rFonts w:hint="eastAsia" w:ascii="黑体" w:hAnsi="黑体" w:eastAsia="黑体"/>
          <w:b w:val="0"/>
        </w:rPr>
        <w:t>政拨款收入支出决算总体情况说明</w:t>
      </w:r>
      <w:bookmarkEnd w:id="30"/>
      <w:bookmarkEnd w:id="31"/>
    </w:p>
    <w:p>
      <w:pPr>
        <w:spacing w:line="600" w:lineRule="exact"/>
        <w:ind w:left="640"/>
        <w:outlineLvl w:val="1"/>
        <w:rPr>
          <w:rStyle w:val="25"/>
          <w:rFonts w:ascii="黑体" w:hAnsi="黑体" w:eastAsia="黑体"/>
          <w:b w:val="0"/>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rPr>
        <w:t>2021年财政拨款</w:t>
      </w:r>
      <w:r>
        <w:rPr>
          <w:rFonts w:hint="eastAsia" w:ascii="仿宋" w:hAnsi="仿宋" w:eastAsia="仿宋"/>
          <w:color w:val="000000"/>
          <w:sz w:val="32"/>
          <w:szCs w:val="32"/>
          <w:highlight w:val="none"/>
        </w:rPr>
        <w:t>收支总</w:t>
      </w:r>
      <w:r>
        <w:rPr>
          <w:rFonts w:hint="eastAsia" w:ascii="仿宋" w:hAnsi="仿宋" w:eastAsia="仿宋"/>
          <w:color w:val="000000"/>
          <w:sz w:val="32"/>
          <w:szCs w:val="32"/>
        </w:rPr>
        <w:t>计5184.73万元。与2020年相比，财政拨款</w:t>
      </w:r>
      <w:r>
        <w:rPr>
          <w:rFonts w:hint="eastAsia" w:ascii="仿宋" w:hAnsi="仿宋" w:eastAsia="仿宋"/>
          <w:color w:val="000000"/>
          <w:sz w:val="32"/>
          <w:szCs w:val="32"/>
          <w:highlight w:val="none"/>
        </w:rPr>
        <w:t>收支</w:t>
      </w:r>
      <w:r>
        <w:rPr>
          <w:rFonts w:hint="eastAsia" w:ascii="仿宋" w:hAnsi="仿宋" w:eastAsia="仿宋"/>
          <w:color w:val="000000"/>
          <w:sz w:val="32"/>
          <w:szCs w:val="32"/>
        </w:rPr>
        <w:t>总计增加541.43万元，上涨11.67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3360" behindDoc="0" locked="0" layoutInCell="1" allowOverlap="1">
            <wp:simplePos x="0" y="0"/>
            <wp:positionH relativeFrom="column">
              <wp:posOffset>545465</wp:posOffset>
            </wp:positionH>
            <wp:positionV relativeFrom="paragraph">
              <wp:posOffset>233680</wp:posOffset>
            </wp:positionV>
            <wp:extent cx="4241165" cy="2324100"/>
            <wp:effectExtent l="4445" t="5080" r="2159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outlineLvl w:val="1"/>
        <w:rPr>
          <w:rStyle w:val="2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2021年一般公共预算财政拨款支出2644.64万元，占本年支出合计的96.18%。与2020年相比，一般公共预算财政拨款支出增加270.84万元，上涨11.4</w:t>
      </w:r>
      <w:r>
        <w:rPr>
          <w:rFonts w:ascii="仿宋" w:hAnsi="仿宋" w:eastAsia="仿宋"/>
          <w:color w:val="000000"/>
          <w:sz w:val="32"/>
          <w:szCs w:val="32"/>
        </w:rPr>
        <w:t>%</w:t>
      </w:r>
      <w:r>
        <w:rPr>
          <w:rFonts w:hint="eastAsia" w:ascii="仿宋" w:hAnsi="仿宋" w:eastAsia="仿宋"/>
          <w:color w:val="000000"/>
          <w:sz w:val="32"/>
          <w:szCs w:val="32"/>
        </w:rPr>
        <w:t xml:space="preserve">。主要变动原因是人员变动及工资绩效的调整。  </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sz w:val="32"/>
          <w:szCs w:val="32"/>
          <w:highlight w:val="none"/>
        </w:rPr>
      </w:pPr>
      <w:r>
        <w:rPr>
          <w:rFonts w:hint="eastAsia" w:ascii="仿宋" w:hAnsi="仿宋" w:eastAsia="仿宋"/>
          <w:color w:val="000000"/>
          <w:sz w:val="32"/>
          <w:szCs w:val="32"/>
        </w:rPr>
        <w:t>2021年一般公共预算财</w:t>
      </w:r>
      <w:r>
        <w:rPr>
          <w:rFonts w:hint="eastAsia" w:ascii="仿宋" w:hAnsi="仿宋" w:eastAsia="仿宋"/>
          <w:color w:val="000000" w:themeColor="text1"/>
          <w:sz w:val="32"/>
          <w:szCs w:val="32"/>
          <w14:textFill>
            <w14:solidFill>
              <w14:schemeClr w14:val="tx1"/>
            </w14:solidFill>
          </w14:textFill>
        </w:rPr>
        <w:t>政拨款支出2644.62万元，主要用于以下方面</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sz w:val="32"/>
          <w:szCs w:val="32"/>
          <w:highlight w:val="none"/>
        </w:rPr>
        <w:t>一般公共服务（类）支出1987.17万元，占75.14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；农林水支出657.45万元，占24.86%。</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sz w:val="32"/>
          <w:szCs w:val="32"/>
          <w:highlight w:val="none"/>
        </w:rPr>
        <w:t>社会保障和就业（类）支出424.33万元，占21.35%；医疗卫生支出134.97万元，占6</w:t>
      </w:r>
      <w:r>
        <w:rPr>
          <w:rFonts w:hint="eastAsia" w:ascii="仿宋" w:hAnsi="仿宋" w:eastAsia="仿宋"/>
          <w:color w:val="000000" w:themeColor="text1"/>
          <w:sz w:val="32"/>
          <w:szCs w:val="32"/>
          <w:highlight w:val="none"/>
          <w14:textFill>
            <w14:solidFill>
              <w14:schemeClr w14:val="tx1"/>
            </w14:solidFill>
          </w14:textFill>
        </w:rPr>
        <w:t>.7</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；住房</w:t>
      </w:r>
      <w:r>
        <w:rPr>
          <w:rFonts w:hint="eastAsia" w:ascii="仿宋" w:hAnsi="仿宋" w:eastAsia="仿宋"/>
          <w:color w:val="000000" w:themeColor="text1"/>
          <w:sz w:val="32"/>
          <w:szCs w:val="32"/>
          <w14:textFill>
            <w14:solidFill>
              <w14:schemeClr w14:val="tx1"/>
            </w14:solidFill>
          </w14:textFill>
        </w:rPr>
        <w:t>保障支出127.13万元，占6.3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；事业机构支出1300.73万元，61.48%。</w:t>
      </w: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5408" behindDoc="0" locked="0" layoutInCell="1" allowOverlap="1">
            <wp:simplePos x="0" y="0"/>
            <wp:positionH relativeFrom="column">
              <wp:posOffset>296545</wp:posOffset>
            </wp:positionH>
            <wp:positionV relativeFrom="paragraph">
              <wp:posOffset>337820</wp:posOffset>
            </wp:positionV>
            <wp:extent cx="4290060" cy="2524760"/>
            <wp:effectExtent l="4445" t="4445" r="10795" b="2349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6432" behindDoc="0" locked="0" layoutInCell="1" allowOverlap="1">
            <wp:simplePos x="0" y="0"/>
            <wp:positionH relativeFrom="column">
              <wp:posOffset>410845</wp:posOffset>
            </wp:positionH>
            <wp:positionV relativeFrom="paragraph">
              <wp:posOffset>-3272155</wp:posOffset>
            </wp:positionV>
            <wp:extent cx="4537075" cy="3571875"/>
            <wp:effectExtent l="4445" t="4445" r="11430" b="508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Style w:val="14"/>
          <w:rFonts w:ascii="仿宋" w:hAnsi="仿宋" w:eastAsia="仿宋"/>
          <w:b w:val="0"/>
          <w:bCs/>
          <w:color w:val="000000"/>
          <w:sz w:val="32"/>
          <w:szCs w:val="32"/>
        </w:rPr>
      </w:pPr>
      <w:bookmarkStart w:id="37" w:name="_Toc15377213"/>
      <w:bookmarkStart w:id="38" w:name="_Toc15377444"/>
      <w:bookmarkStart w:id="39" w:name="_Toc15378460"/>
      <w:r>
        <w:rPr>
          <w:rStyle w:val="14"/>
          <w:rFonts w:hint="eastAsia" w:ascii="仿宋" w:hAnsi="仿宋" w:eastAsia="仿宋"/>
          <w:b w:val="0"/>
          <w:bCs/>
          <w:color w:val="000000"/>
          <w:sz w:val="32"/>
          <w:szCs w:val="32"/>
        </w:rPr>
        <w:t>2021年一般公共预算支出决算数为2644.62万元，当年预算支出预算数3563.8万元，完成预算74.2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。其中：</w:t>
      </w:r>
      <w:bookmarkEnd w:id="37"/>
      <w:bookmarkEnd w:id="38"/>
      <w:bookmarkEnd w:id="39"/>
    </w:p>
    <w:p>
      <w:pPr>
        <w:spacing w:line="600" w:lineRule="exact"/>
        <w:ind w:firstLine="643" w:firstLineChars="200"/>
        <w:rPr>
          <w:rStyle w:val="14"/>
          <w:rFonts w:ascii="仿宋" w:hAnsi="仿宋" w:eastAsia="仿宋"/>
          <w:bCs/>
          <w:color w:val="000000"/>
          <w:sz w:val="32"/>
          <w:szCs w:val="32"/>
        </w:rPr>
      </w:pPr>
      <w:r>
        <w:rPr>
          <w:rStyle w:val="14"/>
          <w:rFonts w:hint="eastAsia" w:ascii="仿宋" w:hAnsi="仿宋" w:eastAsia="仿宋"/>
          <w:bCs/>
          <w:color w:val="000000"/>
          <w:sz w:val="32"/>
          <w:szCs w:val="32"/>
          <w:highlight w:val="none"/>
        </w:rPr>
        <w:t>1</w:t>
      </w:r>
      <w:r>
        <w:rPr>
          <w:rStyle w:val="14"/>
          <w:rFonts w:ascii="仿宋" w:hAnsi="仿宋" w:eastAsia="仿宋"/>
          <w:bCs/>
          <w:color w:val="000000"/>
          <w:sz w:val="32"/>
          <w:szCs w:val="32"/>
          <w:highlight w:val="none"/>
        </w:rPr>
        <w:t>.</w:t>
      </w:r>
      <w:r>
        <w:rPr>
          <w:rStyle w:val="14"/>
          <w:rFonts w:hint="eastAsia" w:ascii="仿宋" w:hAnsi="仿宋" w:eastAsia="仿宋"/>
          <w:b w:val="0"/>
          <w:bCs/>
          <w:color w:val="000000"/>
          <w:sz w:val="32"/>
          <w:szCs w:val="32"/>
          <w:highlight w:val="none"/>
        </w:rPr>
        <w:t>一般公共服务 208（类）05（款）支出决算为424.33万元，完成预算100%；210(类）支出决算为134.97万元，完成预算99.4%，造成差异的主要原因是因为单位今年新增退休人员；213（类）支出决算为1958.18万元，完成预算66.95%，原因是单位预算中包含上年财政应返还额度，我单位作为差额拨款</w:t>
      </w:r>
      <w:r>
        <w:rPr>
          <w:rStyle w:val="14"/>
          <w:rFonts w:hint="eastAsia" w:ascii="仿宋" w:hAnsi="仿宋" w:eastAsia="仿宋"/>
          <w:b w:val="0"/>
          <w:bCs/>
          <w:color w:val="000000"/>
          <w:sz w:val="32"/>
          <w:szCs w:val="32"/>
        </w:rPr>
        <w:t>单位，30%部分的工资绩效及公用经费等需要自行弥补，故我单位超收部分收入作为年末财政应返额度返还下年使用。</w:t>
      </w:r>
    </w:p>
    <w:p>
      <w:pPr>
        <w:spacing w:line="600" w:lineRule="exact"/>
        <w:ind w:firstLine="643" w:firstLineChars="200"/>
        <w:rPr>
          <w:rStyle w:val="14"/>
          <w:bCs/>
        </w:rPr>
      </w:pPr>
      <w:r>
        <w:rPr>
          <w:rStyle w:val="14"/>
          <w:rFonts w:hint="eastAsia" w:ascii="仿宋" w:hAnsi="仿宋" w:eastAsia="仿宋"/>
          <w:bCs/>
          <w:color w:val="000000"/>
          <w:sz w:val="32"/>
          <w:szCs w:val="32"/>
        </w:rPr>
        <w:t>2</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社会保障和就业208（类）05（款）02（项）</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 xml:space="preserve">支出决算为241.61万元，完成预算100 </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；208（类）05（款）05（项）支出决算为121.81万元，完成预算100%；208（类）05（款）06（项）支出决算为60.91万，完成预算98.71%，主要原因是因为职业年金基数变动。</w:t>
      </w:r>
    </w:p>
    <w:p>
      <w:p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医疗卫生与计划生育210（类） 11（款） 02（项）</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 xml:space="preserve">支出决算为77.66万元，完成预算99.65 </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。210(类）11（款）99（项）支出决算为57.31万元，完成预算99.06%，造成差异主要原因是因为基数调</w:t>
      </w:r>
      <w:r>
        <w:rPr>
          <w:rStyle w:val="14"/>
          <w:rFonts w:hint="eastAsia" w:ascii="仿宋" w:hAnsi="仿宋" w:eastAsia="仿宋"/>
          <w:b w:val="0"/>
          <w:bCs/>
          <w:color w:val="000000"/>
          <w:sz w:val="32"/>
          <w:szCs w:val="32"/>
          <w:highlight w:val="none"/>
        </w:rPr>
        <w:t>整。</w:t>
      </w:r>
    </w:p>
    <w:p>
      <w:pPr>
        <w:spacing w:line="600" w:lineRule="exact"/>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w:t>
      </w:r>
      <w:r>
        <w:rPr>
          <w:rStyle w:val="14"/>
          <w:rFonts w:hint="eastAsia" w:ascii="仿宋" w:hAnsi="仿宋" w:eastAsia="仿宋"/>
          <w:b w:val="0"/>
          <w:bCs/>
          <w:color w:val="000000"/>
          <w:sz w:val="32"/>
          <w:szCs w:val="32"/>
          <w:highlight w:val="none"/>
        </w:rPr>
        <w:t>4.住房</w:t>
      </w:r>
      <w:r>
        <w:rPr>
          <w:rStyle w:val="14"/>
          <w:rFonts w:hint="eastAsia" w:ascii="仿宋" w:hAnsi="仿宋" w:eastAsia="仿宋"/>
          <w:b w:val="0"/>
          <w:bCs/>
          <w:color w:val="000000"/>
          <w:sz w:val="32"/>
          <w:szCs w:val="32"/>
        </w:rPr>
        <w:t>保障支出221（类）02（款）（01）项支出决算为127.13万元，完成预算98%，原因是因为单位人员变动及基数调整引起。</w:t>
      </w:r>
    </w:p>
    <w:p>
      <w:pPr>
        <w:tabs>
          <w:tab w:val="right" w:pos="8306"/>
        </w:tabs>
        <w:spacing w:line="600" w:lineRule="exact"/>
        <w:ind w:firstLine="640"/>
        <w:outlineLvl w:val="1"/>
        <w:rPr>
          <w:rStyle w:val="25"/>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2021年一般公共预算财政拨款基本支出1691.97万元，其中：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人员经费1691.97万元，主要包括：基本工资425.92万元、奖金426.92万元、绩效工资122.15万元、机关事业单位基本养老保险缴费187.03万元、职业年金缴费93.51万元</w:t>
      </w:r>
      <w:r>
        <w:rPr>
          <w:rFonts w:hint="eastAsia" w:ascii="仿宋" w:hAnsi="仿宋" w:eastAsia="仿宋"/>
          <w:color w:val="000000"/>
          <w:sz w:val="32"/>
          <w:szCs w:val="32"/>
          <w:highlight w:val="none"/>
        </w:rPr>
        <w:t>、其他工资福利支出11.65万元、职工基本医保123.25万元、公务员医疗补助25.95万元、住房公积金252.74万元、生活补助210.76万元、抚恤</w:t>
      </w:r>
      <w:r>
        <w:rPr>
          <w:rFonts w:hint="eastAsia" w:ascii="仿宋" w:hAnsi="仿宋" w:eastAsia="仿宋"/>
          <w:color w:val="000000"/>
          <w:sz w:val="32"/>
          <w:szCs w:val="32"/>
        </w:rPr>
        <w:t>金10.43万元、其他对个人和家庭的补助支出30.71万元、退休费43.3万元等。</w:t>
      </w:r>
      <w:r>
        <w:rPr>
          <w:rFonts w:ascii="仿宋" w:hAnsi="仿宋" w:eastAsia="仿宋"/>
          <w:color w:val="000000"/>
          <w:sz w:val="32"/>
          <w:szCs w:val="32"/>
        </w:rPr>
        <w:br w:type="textWrapping"/>
      </w:r>
      <w:r>
        <w:rPr>
          <w:rFonts w:hint="eastAsia" w:ascii="仿宋" w:hAnsi="仿宋" w:eastAsia="仿宋"/>
          <w:color w:val="000000"/>
          <w:sz w:val="32"/>
          <w:szCs w:val="32"/>
        </w:rPr>
        <w:t>　　一般公共财政拨款项目支出762.4万元，主要包括：办公费13.26万元、印刷费44.21万元、咨询费0.2万元、手续费1.14万元、水费1.77万元、电费7.35万元、邮电费3.62万元、物业管理费3.36万元、差旅费355.13万元、维修（护）费0.26万元、会议费0.58万元、培训费1.7万元、公务接待费3.54万元、劳务费0.58万元、委托业务费41.26万元、公务用车运行维护费23.66万元、其他交通费34.27万元、税金及附加费用12.53万元、其他商品和服务支出185.32万元、公务用车购置28.6万元等。其中差旅费涨幅较大，上涨83.09%；其他商品服务支出、委托业务费涨幅均较明显；劳务费支出下降明显，下降96.8%。</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我单位为差额拨款的事业单位，财政未拨付“三公经费”。我单位“三公经费”从</w:t>
      </w:r>
      <w:r>
        <w:rPr>
          <w:rFonts w:hint="eastAsia" w:ascii="仿宋" w:hAnsi="仿宋" w:eastAsia="仿宋"/>
          <w:color w:val="000000"/>
          <w:sz w:val="32"/>
          <w:szCs w:val="32"/>
          <w:highlight w:val="none"/>
        </w:rPr>
        <w:t>非税收入中进</w:t>
      </w:r>
      <w:r>
        <w:rPr>
          <w:rFonts w:hint="eastAsia" w:ascii="仿宋" w:hAnsi="仿宋" w:eastAsia="仿宋"/>
          <w:color w:val="000000"/>
          <w:sz w:val="32"/>
          <w:szCs w:val="32"/>
        </w:rPr>
        <w:t>行弥补。</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2021年“三公”经费财政拨款支出决算中，因公出国（境）费支出决算0万元；公务用车购置及运行维护费支出决算52.26万元，占93.6</w:t>
      </w:r>
      <w:r>
        <w:rPr>
          <w:rFonts w:ascii="仿宋" w:hAnsi="仿宋" w:eastAsia="仿宋"/>
          <w:color w:val="000000"/>
          <w:sz w:val="32"/>
          <w:szCs w:val="32"/>
        </w:rPr>
        <w:t>%</w:t>
      </w:r>
      <w:r>
        <w:rPr>
          <w:rFonts w:hint="eastAsia" w:ascii="仿宋" w:hAnsi="仿宋" w:eastAsia="仿宋"/>
          <w:color w:val="000000"/>
          <w:sz w:val="32"/>
          <w:szCs w:val="32"/>
        </w:rPr>
        <w:t>；公务接待费支出决算3.54万元，占6.4</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7456"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公务用车购置及运行维护费支出55.8</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公务用车购置及运行维护费支出决算比2020年增加12.38万元，上涨28.5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highlight w:val="none"/>
        </w:rPr>
        <w:t>主要原因是单位新购公务用车一辆及单位开展经营性项目公务用车增多。</w:t>
      </w:r>
      <w:r>
        <w:rPr>
          <w:rFonts w:hint="eastAsia" w:ascii="仿宋_GB2312" w:eastAsia="仿宋_GB2312"/>
          <w:color w:val="000000"/>
          <w:sz w:val="32"/>
          <w:szCs w:val="32"/>
        </w:rPr>
        <w:t>但我单位公务用车采购及公务用车维护费支出未超过当年预算资金。</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公务用车购置支出28.6</w:t>
      </w:r>
      <w:r>
        <w:rPr>
          <w:rFonts w:hint="eastAsia" w:ascii="仿宋_GB2312" w:eastAsia="仿宋_GB2312"/>
          <w:color w:val="000000"/>
          <w:sz w:val="32"/>
          <w:szCs w:val="32"/>
        </w:rPr>
        <w:t>万元。全年按规定更新购置公务用车1辆，主要用</w:t>
      </w:r>
      <w:r>
        <w:rPr>
          <w:rFonts w:hint="eastAsia" w:ascii="仿宋_GB2312" w:eastAsia="仿宋_GB2312"/>
          <w:color w:val="000000" w:themeColor="text1"/>
          <w:sz w:val="32"/>
          <w:szCs w:val="32"/>
          <w:highlight w:val="none"/>
          <w14:textFill>
            <w14:solidFill>
              <w14:schemeClr w14:val="tx1"/>
            </w14:solidFill>
          </w14:textFill>
        </w:rPr>
        <w:t>于</w:t>
      </w:r>
      <w:r>
        <w:rPr>
          <w:rFonts w:hint="eastAsia" w:ascii="仿宋_GB2312" w:eastAsia="仿宋_GB2312"/>
          <w:color w:val="000000"/>
          <w:sz w:val="32"/>
          <w:szCs w:val="32"/>
          <w:highlight w:val="none"/>
        </w:rPr>
        <w:t>单位经营性项目野外</w:t>
      </w:r>
      <w:r>
        <w:rPr>
          <w:rFonts w:hint="eastAsia" w:ascii="仿宋_GB2312" w:eastAsia="仿宋_GB2312"/>
          <w:color w:val="000000"/>
          <w:sz w:val="32"/>
          <w:szCs w:val="32"/>
        </w:rPr>
        <w:t>工作出差。截至2021年</w:t>
      </w:r>
      <w:r>
        <w:rPr>
          <w:rFonts w:ascii="仿宋_GB2312" w:eastAsia="仿宋_GB2312"/>
          <w:color w:val="000000"/>
          <w:sz w:val="32"/>
          <w:szCs w:val="32"/>
        </w:rPr>
        <w:t>12</w:t>
      </w:r>
      <w:r>
        <w:rPr>
          <w:rFonts w:hint="eastAsia" w:ascii="仿宋_GB2312" w:eastAsia="仿宋_GB2312"/>
          <w:color w:val="000000"/>
          <w:sz w:val="32"/>
          <w:szCs w:val="32"/>
        </w:rPr>
        <w:t>月底，单位共</w:t>
      </w:r>
      <w:bookmarkStart w:id="71" w:name="_GoBack"/>
      <w:bookmarkEnd w:id="71"/>
      <w:r>
        <w:rPr>
          <w:rFonts w:hint="eastAsia" w:ascii="仿宋_GB2312" w:eastAsia="仿宋_GB2312"/>
          <w:color w:val="000000"/>
          <w:sz w:val="32"/>
          <w:szCs w:val="32"/>
        </w:rPr>
        <w:t>有公务用车4辆，其中：越野车3辆、商务车1辆。已经按照相关手续进行报废车辆三辆，但由于在资产管理系统中进行下账时未取得上级部门的审批手续，所以固定资产管理系统中仍未下账，在完善相关手续之后会及时下账。</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公务用车运行维护费支出23.66</w:t>
      </w:r>
      <w:r>
        <w:rPr>
          <w:rFonts w:hint="eastAsia" w:ascii="仿宋_GB2312" w:eastAsia="仿宋_GB2312"/>
          <w:color w:val="000000"/>
          <w:sz w:val="32"/>
          <w:szCs w:val="32"/>
        </w:rPr>
        <w:t>万元。主要用于</w:t>
      </w:r>
      <w:r>
        <w:rPr>
          <w:rFonts w:hint="eastAsia" w:ascii="仿宋" w:hAnsi="仿宋" w:eastAsia="仿宋"/>
          <w:bCs/>
          <w:color w:val="000000"/>
          <w:sz w:val="32"/>
          <w:szCs w:val="32"/>
        </w:rPr>
        <w:t>昭觉县林草局2020年集体公益林生态效益补偿实施方案、2021年自然保护地及周边建设项目核查服务、金阳县百草坡自然保护区森林防火道路、盐源县森林草原防灭火道路、四川水电美姑电力有限公司输电线路通道火灾隐患林木清理、德昌县茨达镇大陆槽村森林草原防灭火通道、德昌县林草湿数据及第三次全国国土调查、喜德县林草湿数据及第三次全国国土调查、乐西高速保护树种移栽方案、</w:t>
      </w:r>
      <w:r>
        <w:rPr>
          <w:rFonts w:hint="eastAsia" w:ascii="仿宋_GB2312" w:eastAsia="仿宋_GB2312"/>
          <w:color w:val="000000"/>
          <w:sz w:val="32"/>
          <w:szCs w:val="32"/>
        </w:rPr>
        <w:t>等所需的公务用车燃料费、维修费、过路过桥费、保险费等经营性项目支出。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公务接待费支出3.55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公务接待费支出决算比2020年减少2.37万元，下降40</w:t>
      </w:r>
      <w:r>
        <w:rPr>
          <w:rFonts w:ascii="仿宋_GB2312" w:eastAsia="仿宋_GB2312"/>
          <w:color w:val="000000"/>
          <w:sz w:val="32"/>
          <w:szCs w:val="32"/>
        </w:rPr>
        <w:t>%</w:t>
      </w:r>
      <w:r>
        <w:rPr>
          <w:rFonts w:hint="eastAsia" w:ascii="仿宋_GB2312" w:eastAsia="仿宋_GB2312"/>
          <w:color w:val="000000"/>
          <w:sz w:val="32"/>
          <w:szCs w:val="32"/>
        </w:rPr>
        <w:t>。主要原因是严格执行中央八项规定要求，严格把关公务接待开支。</w:t>
      </w:r>
    </w:p>
    <w:p>
      <w:pPr>
        <w:spacing w:line="600" w:lineRule="exact"/>
        <w:ind w:firstLine="640" w:firstLineChars="200"/>
        <w:rPr>
          <w:rFonts w:ascii="仿宋" w:hAnsi="仿宋" w:eastAsia="仿宋"/>
          <w:b/>
          <w:color w:val="000000"/>
          <w:sz w:val="32"/>
          <w:szCs w:val="32"/>
        </w:rPr>
      </w:pPr>
      <w:r>
        <w:rPr>
          <w:rFonts w:hint="eastAsia" w:ascii="仿宋_GB2312" w:eastAsia="仿宋_GB2312"/>
          <w:color w:val="000000"/>
          <w:sz w:val="32"/>
          <w:szCs w:val="32"/>
        </w:rPr>
        <w:t>主要用于执行公务、开展业务活动开支的交通费、住宿费、用餐费等。国内公务接待78批次，234人次，共计支出3.55万元，具体内容包括：盐源县林草局森林防火专项整治基础设施建设接待费、昭觉县林草局森林草原防火隔离带接待费、布拖县2020年中央财政林业改革发展资金预算（第三批）造林绿化接待费、乐西高速马边至昭觉段（雷波县境内）国家重点保护野生植物移栽作业</w:t>
      </w:r>
      <w:r>
        <w:rPr>
          <w:rFonts w:hint="eastAsia" w:ascii="仿宋_GB2312" w:eastAsia="仿宋_GB2312"/>
          <w:color w:val="000000"/>
          <w:sz w:val="32"/>
          <w:szCs w:val="32"/>
          <w:highlight w:val="none"/>
        </w:rPr>
        <w:t>设计等各类经营性项目接待费。</w:t>
      </w:r>
    </w:p>
    <w:p>
      <w:pPr>
        <w:numPr>
          <w:ilvl w:val="0"/>
          <w:numId w:val="2"/>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项目支出开展了预算事前绩效评估，对总体项目编制了绩效目标，预算执行过程中，选取项目支出开展绩效监控，年终执行完毕后，对项目开展了绩效目标完成情况梳理填报。</w:t>
      </w:r>
    </w:p>
    <w:p>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按要求对2021年部门整体支出开展绩效自评，单位收入完成情况较好，预算收入1200万元，实际完成非税收入1378.4万元，超额完成目标任务。项目支出预算完成情况良好，较好完成支出预算。本部门还自行组织了项目绩效评价，从评价情况来看较好完成项目绩效评价。</w:t>
      </w:r>
      <w:r>
        <w:rPr>
          <w:rFonts w:hint="eastAsia" w:ascii="仿宋" w:hAnsi="仿宋" w:eastAsia="仿宋" w:cs="仿宋"/>
          <w:sz w:val="32"/>
          <w:szCs w:val="32"/>
        </w:rPr>
        <w:t>年度总体绩效目标</w:t>
      </w:r>
      <w:r>
        <w:rPr>
          <w:rFonts w:hint="eastAsia" w:ascii="仿宋" w:hAnsi="仿宋" w:eastAsia="仿宋" w:cs="仿宋"/>
          <w:sz w:val="32"/>
          <w:szCs w:val="32"/>
          <w:highlight w:val="none"/>
        </w:rPr>
        <w:t>为：完成签</w:t>
      </w:r>
      <w:r>
        <w:rPr>
          <w:rFonts w:hint="eastAsia" w:ascii="仿宋" w:hAnsi="仿宋" w:eastAsia="仿宋" w:cs="仿宋"/>
          <w:sz w:val="32"/>
          <w:szCs w:val="32"/>
        </w:rPr>
        <w:t>定各类林草类设计合同123个，对全州17个县、市进行了全面的森林资源年度日常监测。</w:t>
      </w:r>
    </w:p>
    <w:p>
      <w:pPr>
        <w:ind w:firstLine="640" w:firstLineChars="200"/>
        <w:rPr>
          <w:rFonts w:ascii="仿宋" w:hAnsi="仿宋" w:eastAsia="仿宋" w:cs="仿宋"/>
          <w:sz w:val="32"/>
          <w:szCs w:val="32"/>
        </w:rPr>
      </w:pPr>
      <w:r>
        <w:rPr>
          <w:rFonts w:hint="eastAsia" w:ascii="仿宋" w:hAnsi="仿宋" w:eastAsia="仿宋" w:cs="仿宋"/>
          <w:sz w:val="32"/>
          <w:szCs w:val="32"/>
        </w:rPr>
        <w:t>财政拨款不足部分，包括人员经费的30%差额部分和全部公用经费，均由我院参与林业调查规划设计市场竞争，开展生产经营活动取得收入弥补。因此，凉山州2021年部门整体支出绩效评价指标体系中的很多考核指标不适用我单位。我院</w:t>
      </w:r>
      <w:r>
        <w:rPr>
          <w:rFonts w:hint="eastAsia" w:ascii="仿宋" w:hAnsi="仿宋" w:eastAsia="仿宋" w:cs="仿宋"/>
          <w:sz w:val="32"/>
          <w:szCs w:val="32"/>
          <w:highlight w:val="none"/>
        </w:rPr>
        <w:t>项目收入作为非税收入全部</w:t>
      </w:r>
      <w:r>
        <w:rPr>
          <w:rFonts w:hint="eastAsia" w:ascii="仿宋" w:hAnsi="仿宋" w:eastAsia="仿宋" w:cs="仿宋"/>
          <w:sz w:val="32"/>
          <w:szCs w:val="32"/>
        </w:rPr>
        <w:t>上缴财政，同时财政又全额返还我院用于弥补人员经费不足和单位事业发展的各类支出。我院的非税收入具有不确定性，每年产生的收入，我院不能一次性全部用完；若次年我院非税收入减少，将会使用上年财政应返还额度来弥补。</w:t>
      </w:r>
    </w:p>
    <w:p>
      <w:pPr>
        <w:numPr>
          <w:ilvl w:val="0"/>
          <w:numId w:val="2"/>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highlight w:val="none"/>
        </w:rPr>
        <w:t>绩效目标</w:t>
      </w:r>
      <w:r>
        <w:rPr>
          <w:rFonts w:hint="eastAsia" w:ascii="仿宋" w:hAnsi="仿宋" w:eastAsia="仿宋" w:cs="楷体_GB2312"/>
          <w:b/>
          <w:bCs/>
          <w:sz w:val="32"/>
          <w:szCs w:val="32"/>
        </w:rPr>
        <w:t>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本部门在2021年度部门决算中项目绩效目标实际完成情况。</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项目绩效目标完成情况综述。项目全年预算收入数为1200万元，执行数为1378.4万元，完成预算的100%。项目支出数为1699.38万元，执行数为</w:t>
      </w:r>
      <w:r>
        <w:rPr>
          <w:rFonts w:hint="eastAsia" w:ascii="仿宋" w:hAnsi="仿宋" w:eastAsia="仿宋"/>
          <w:color w:val="000000"/>
          <w:sz w:val="32"/>
          <w:szCs w:val="32"/>
        </w:rPr>
        <w:t>762.4</w:t>
      </w:r>
      <w:r>
        <w:rPr>
          <w:rFonts w:hint="eastAsia" w:ascii="仿宋_GB2312" w:hAnsi="仿宋_GB2312" w:eastAsia="仿宋_GB2312" w:cs="仿宋_GB2312"/>
          <w:sz w:val="32"/>
          <w:szCs w:val="32"/>
        </w:rPr>
        <w:t>万元。通过项目实施，保障单位职工30%部分基本工资及单位日常运转，发现的主要问题：单位预算执行目标进度较缓慢，年底财政应返还额度较大。下一步改进措施：加强对预算的科学性合理性监管，在日常工作中加强对预算指标执行情况的监管。</w:t>
      </w: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p>
      <w:pPr>
        <w:pStyle w:val="23"/>
        <w:spacing w:line="580" w:lineRule="exact"/>
        <w:ind w:left="420" w:leftChars="200" w:firstLine="0" w:firstLineChars="0"/>
        <w:rPr>
          <w:rStyle w:val="25"/>
          <w:rFonts w:ascii="黑体" w:hAnsi="黑体" w:eastAsia="黑体"/>
          <w:b w:val="0"/>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其他林业和草原支出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凉山州林业调查规划设计院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1699.38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 w:hAnsi="仿宋" w:eastAsia="仿宋"/>
                <w:color w:val="000000"/>
                <w:sz w:val="32"/>
                <w:szCs w:val="32"/>
              </w:rPr>
              <w:t>762.4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1699.38万元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762.4万元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当年财政预算项目支出1699.38万元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实际当年决算项目支出762.4万元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当年财政预算项目支出1699.38万元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实际当年决算项目支出762.4万元</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r>
    </w:tbl>
    <w:p>
      <w:pPr>
        <w:spacing w:line="580" w:lineRule="exact"/>
        <w:rPr>
          <w:rFonts w:ascii="仿宋_GB2312" w:hAnsi="仿宋_GB2312" w:eastAsia="仿宋_GB2312" w:cs="仿宋_GB2312"/>
          <w:sz w:val="32"/>
          <w:szCs w:val="32"/>
        </w:rPr>
      </w:pPr>
    </w:p>
    <w:p>
      <w:pPr>
        <w:numPr>
          <w:ilvl w:val="0"/>
          <w:numId w:val="2"/>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本部门按要求对2021年部门整体支出绩效评价情况开展自评，《凉山州林业调查规划设计院2021年部门整体支出绩效评价报告》见附件。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本单位自行组织对其他林业从业支出项目开展了绩效评价，《凉山州林业调查规划设计院2021年绩效评价报告》见附件。</w:t>
      </w:r>
    </w:p>
    <w:p>
      <w:pPr>
        <w:spacing w:line="600" w:lineRule="exact"/>
        <w:ind w:firstLine="803" w:firstLineChars="250"/>
        <w:outlineLvl w:val="1"/>
        <w:rPr>
          <w:rStyle w:val="25"/>
          <w:rFonts w:ascii="黑体" w:hAnsi="黑体" w:eastAsia="黑体"/>
        </w:rPr>
      </w:pPr>
      <w:bookmarkStart w:id="46" w:name="_Toc15377221"/>
      <w:bookmarkStart w:id="47" w:name="_Toc15396612"/>
      <w:r>
        <w:rPr>
          <w:rStyle w:val="25"/>
          <w:rFonts w:hint="eastAsia" w:ascii="黑体" w:hAnsi="黑体" w:eastAsia="黑体"/>
        </w:rPr>
        <w:t>八、</w:t>
      </w:r>
      <w:r>
        <w:rPr>
          <w:rStyle w:val="25"/>
          <w:rFonts w:hint="eastAsia" w:ascii="黑体" w:hAnsi="黑体" w:eastAsia="黑体"/>
          <w:b w:val="0"/>
        </w:rPr>
        <w:t>其他重要事项的情况说明</w:t>
      </w:r>
      <w:bookmarkEnd w:id="46"/>
      <w:bookmarkEnd w:id="47"/>
    </w:p>
    <w:p>
      <w:pPr>
        <w:spacing w:line="600" w:lineRule="exact"/>
        <w:ind w:firstLine="643" w:firstLineChars="200"/>
        <w:outlineLvl w:val="2"/>
        <w:rPr>
          <w:rFonts w:ascii="仿宋" w:hAnsi="仿宋" w:eastAsia="仿宋"/>
          <w:color w:val="000000"/>
          <w:sz w:val="32"/>
          <w:szCs w:val="32"/>
        </w:rPr>
      </w:pPr>
      <w:bookmarkStart w:id="48" w:name="_Toc15377222"/>
      <w:r>
        <w:rPr>
          <w:rFonts w:hint="eastAsia" w:ascii="仿宋" w:hAnsi="仿宋" w:eastAsia="仿宋"/>
          <w:b/>
          <w:color w:val="000000"/>
          <w:sz w:val="32"/>
          <w:szCs w:val="32"/>
        </w:rPr>
        <w:t>（一）机关运行经费支出情况</w:t>
      </w:r>
      <w:bookmarkEnd w:id="48"/>
    </w:p>
    <w:p>
      <w:pPr>
        <w:spacing w:line="600" w:lineRule="exact"/>
        <w:rPr>
          <w:rFonts w:ascii="仿宋" w:hAnsi="仿宋" w:eastAsia="仿宋"/>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我单位为差额拨款的事业单位，财政未拨付机关运行经费，我单位公用经费及30%的工资绩效从项目收入中弥补。</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49" w:name="_Toc15377223"/>
      <w:r>
        <w:rPr>
          <w:rFonts w:hint="eastAsia" w:ascii="仿宋" w:hAnsi="仿宋" w:eastAsia="仿宋"/>
          <w:b/>
          <w:color w:val="000000"/>
          <w:sz w:val="32"/>
          <w:szCs w:val="32"/>
        </w:rPr>
        <w:t>（二）政府采购支出情况</w:t>
      </w:r>
      <w:bookmarkEnd w:id="49"/>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r>
        <w:rPr>
          <w:rFonts w:hint="eastAsia" w:ascii="仿宋_GB2312" w:eastAsia="仿宋_GB2312"/>
          <w:color w:val="000000"/>
          <w:sz w:val="32"/>
          <w:szCs w:val="32"/>
        </w:rPr>
        <w:t>2021年，政府采购支出总额28.6万元，其中：政府采购货物支出28.6万元。主要用于公务用车采购。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截至2021年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日，凉山州林业调查规划院共有车辆4辆，其中：其他用车4辆，</w:t>
      </w:r>
      <w:r>
        <w:rPr>
          <w:rFonts w:hint="eastAsia" w:ascii="仿宋_GB2312" w:eastAsia="仿宋_GB2312"/>
          <w:color w:val="000000" w:themeColor="text1"/>
          <w:sz w:val="32"/>
          <w:szCs w:val="32"/>
          <w14:textFill>
            <w14:solidFill>
              <w14:schemeClr w14:val="tx1"/>
            </w14:solidFill>
          </w14:textFill>
        </w:rPr>
        <w:t>其他用车主要是用于单位行政出差及生产业务出差。我单位还有三辆公务用车已经报废，但在固定资产管理系统中仍未下账，在取得相关上级部门的审批之后将进行及时下账处理。</w:t>
      </w:r>
    </w:p>
    <w:p>
      <w:pPr>
        <w:numPr>
          <w:ilvl w:val="0"/>
          <w:numId w:val="2"/>
        </w:numPr>
        <w:spacing w:line="600" w:lineRule="atLeast"/>
        <w:ind w:firstLine="643" w:firstLineChars="200"/>
        <w:rPr>
          <w:rFonts w:ascii="仿宋_GB2312" w:eastAsia="仿宋_GB2312"/>
          <w:b/>
          <w:color w:val="000000"/>
          <w:sz w:val="32"/>
          <w:szCs w:val="32"/>
        </w:rPr>
      </w:pPr>
      <w:r>
        <w:rPr>
          <w:rFonts w:hint="eastAsia" w:ascii="仿宋_GB2312" w:eastAsia="仿宋_GB2312"/>
          <w:b/>
          <w:color w:val="000000"/>
          <w:sz w:val="32"/>
          <w:szCs w:val="32"/>
        </w:rPr>
        <w:t>关于账表不一致情况说明</w:t>
      </w:r>
    </w:p>
    <w:p>
      <w:pPr>
        <w:spacing w:line="600" w:lineRule="atLeast"/>
        <w:ind w:left="420" w:left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  年末决算中部分费用在报表中进行了调整，主要原因是因为做账过程中不够仔细，误将临近科目混用，但因为年末已经进行扎帐无法进行账面调整，因而只能在下年进行会计差错调整。故导致账表存在不一致情况，相关情况已经在审计局等部门数据审计过程中进行了说明，并在年末决算报表中进行了解释，特此说明。</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24"/>
          <w:rFonts w:ascii="黑体" w:hAnsi="黑体" w:eastAsia="黑体"/>
          <w:b w:val="0"/>
        </w:rPr>
      </w:pPr>
      <w:bookmarkStart w:id="51" w:name="_Toc15377225"/>
      <w:bookmarkStart w:id="52" w:name="_Toc15396613"/>
      <w:r>
        <w:rPr>
          <w:rFonts w:hint="eastAsia" w:ascii="黑体" w:hAnsi="黑体" w:eastAsia="黑体"/>
          <w:b/>
          <w:color w:val="000000"/>
          <w:sz w:val="44"/>
          <w:szCs w:val="44"/>
        </w:rPr>
        <w:t>名</w:t>
      </w:r>
      <w:r>
        <w:rPr>
          <w:rStyle w:val="24"/>
          <w:rFonts w:hint="eastAsia" w:ascii="黑体" w:hAnsi="黑体" w:eastAsia="黑体"/>
          <w:b w:val="0"/>
        </w:rPr>
        <w:t>词解释</w:t>
      </w:r>
      <w:bookmarkEnd w:id="51"/>
      <w:bookmarkEnd w:id="52"/>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sz w:val="32"/>
          <w:szCs w:val="32"/>
        </w:rPr>
      </w:pPr>
    </w:p>
    <w:p>
      <w:pPr>
        <w:spacing w:line="600" w:lineRule="exact"/>
        <w:jc w:val="center"/>
        <w:outlineLvl w:val="0"/>
        <w:rPr>
          <w:rStyle w:val="24"/>
          <w:rFonts w:ascii="黑体" w:hAnsi="黑体" w:eastAsia="黑体"/>
          <w:b w:val="0"/>
        </w:rPr>
      </w:pPr>
      <w:bookmarkStart w:id="53" w:name="_Toc15396614"/>
      <w:bookmarkStart w:id="54" w:name="_Toc15377226"/>
      <w:r>
        <w:rPr>
          <w:rFonts w:hint="eastAsia" w:ascii="黑体" w:hAnsi="黑体" w:eastAsia="黑体"/>
          <w:color w:val="000000"/>
          <w:sz w:val="44"/>
          <w:szCs w:val="44"/>
        </w:rPr>
        <w:t>第</w:t>
      </w:r>
      <w:r>
        <w:rPr>
          <w:rStyle w:val="24"/>
          <w:rFonts w:hint="eastAsia" w:ascii="黑体" w:hAnsi="黑体" w:eastAsia="黑体"/>
          <w:b w:val="0"/>
        </w:rPr>
        <w:t>四部分 附件</w:t>
      </w:r>
      <w:bookmarkEnd w:id="53"/>
    </w:p>
    <w:p>
      <w:pPr>
        <w:spacing w:line="600" w:lineRule="exact"/>
        <w:jc w:val="center"/>
        <w:outlineLvl w:val="0"/>
        <w:rPr>
          <w:rStyle w:val="24"/>
        </w:rPr>
      </w:pPr>
    </w:p>
    <w:p>
      <w:pPr>
        <w:pStyle w:val="3"/>
        <w:rPr>
          <w:rStyle w:val="24"/>
          <w:rFonts w:ascii="仿宋" w:hAnsi="仿宋" w:eastAsia="仿宋"/>
          <w:b w:val="0"/>
          <w:bCs w:val="0"/>
          <w:sz w:val="32"/>
          <w:szCs w:val="32"/>
        </w:rPr>
      </w:pPr>
      <w:bookmarkStart w:id="55" w:name="_Toc15396615"/>
      <w:r>
        <w:rPr>
          <w:rStyle w:val="24"/>
          <w:rFonts w:hint="eastAsia" w:ascii="仿宋" w:hAnsi="仿宋" w:eastAsia="仿宋"/>
          <w:b w:val="0"/>
          <w:bCs w:val="0"/>
          <w:sz w:val="32"/>
          <w:szCs w:val="32"/>
        </w:rPr>
        <w:t>附件1</w:t>
      </w:r>
      <w:bookmarkEnd w:id="55"/>
    </w:p>
    <w:p>
      <w:pPr>
        <w:jc w:val="center"/>
        <w:rPr>
          <w:rFonts w:ascii="仿宋" w:hAnsi="仿宋" w:eastAsia="仿宋" w:cs="仿宋"/>
          <w:sz w:val="32"/>
          <w:szCs w:val="32"/>
        </w:rPr>
      </w:pPr>
      <w:r>
        <w:rPr>
          <w:rFonts w:hint="eastAsia" w:ascii="仿宋" w:hAnsi="仿宋" w:eastAsia="仿宋" w:cs="仿宋"/>
          <w:sz w:val="32"/>
          <w:szCs w:val="32"/>
        </w:rPr>
        <w:t>凉山州林业调查规划设计院</w:t>
      </w:r>
    </w:p>
    <w:p>
      <w:pPr>
        <w:jc w:val="center"/>
        <w:rPr>
          <w:rFonts w:ascii="仿宋" w:hAnsi="仿宋" w:eastAsia="仿宋" w:cs="仿宋"/>
          <w:sz w:val="32"/>
          <w:szCs w:val="32"/>
        </w:rPr>
      </w:pPr>
      <w:r>
        <w:rPr>
          <w:rFonts w:hint="eastAsia" w:ascii="仿宋" w:hAnsi="仿宋" w:eastAsia="仿宋" w:cs="仿宋"/>
          <w:sz w:val="32"/>
          <w:szCs w:val="32"/>
        </w:rPr>
        <w:t>2021年州级部门整体支出绩效自评报告</w:t>
      </w:r>
    </w:p>
    <w:p>
      <w:pPr>
        <w:rPr>
          <w:rFonts w:ascii="仿宋" w:hAnsi="仿宋" w:eastAsia="仿宋" w:cs="仿宋"/>
          <w:sz w:val="32"/>
          <w:szCs w:val="32"/>
        </w:rPr>
      </w:pPr>
    </w:p>
    <w:p>
      <w:pPr>
        <w:pStyle w:val="2"/>
        <w:rPr>
          <w:rFonts w:ascii="仿宋" w:hAnsi="仿宋" w:eastAsia="仿宋" w:cs="仿宋"/>
          <w:sz w:val="32"/>
          <w:szCs w:val="32"/>
        </w:rPr>
      </w:pPr>
      <w:r>
        <w:rPr>
          <w:rFonts w:hint="eastAsia" w:ascii="仿宋" w:hAnsi="仿宋" w:eastAsia="仿宋" w:cs="仿宋"/>
          <w:sz w:val="32"/>
          <w:szCs w:val="32"/>
        </w:rPr>
        <w:t>一、部门（单位）概况</w:t>
      </w:r>
    </w:p>
    <w:p>
      <w:pPr>
        <w:pStyle w:val="3"/>
        <w:rPr>
          <w:rFonts w:ascii="仿宋" w:hAnsi="仿宋" w:eastAsia="仿宋" w:cs="仿宋"/>
        </w:rPr>
      </w:pPr>
      <w:r>
        <w:rPr>
          <w:rFonts w:hint="eastAsia" w:ascii="仿宋" w:hAnsi="仿宋" w:eastAsia="仿宋" w:cs="仿宋"/>
        </w:rPr>
        <w:t>（一）机构组成。</w:t>
      </w:r>
    </w:p>
    <w:p>
      <w:pPr>
        <w:rPr>
          <w:rFonts w:ascii="仿宋" w:hAnsi="仿宋" w:eastAsia="仿宋" w:cs="仿宋"/>
          <w:sz w:val="32"/>
          <w:szCs w:val="32"/>
        </w:rPr>
      </w:pPr>
      <w:r>
        <w:rPr>
          <w:rFonts w:hint="eastAsia" w:ascii="仿宋" w:hAnsi="仿宋" w:eastAsia="仿宋" w:cs="仿宋"/>
          <w:sz w:val="32"/>
          <w:szCs w:val="32"/>
        </w:rPr>
        <w:t>根据凉事改办发[2014]1号，我院被明确为“公益二类事业单位”。根据凉编办[2008]100号，我院为“核定差额拨款事业”编制。全院设党务人事处、监察室、财务处、行政办公室、林业生态环境监测中心办公室、总工办、生产经营处、林业规划设计所、林业调查测绘所共九个部门。</w:t>
      </w:r>
    </w:p>
    <w:p>
      <w:pPr>
        <w:pStyle w:val="3"/>
        <w:rPr>
          <w:rFonts w:ascii="仿宋" w:hAnsi="仿宋" w:eastAsia="仿宋" w:cs="仿宋"/>
        </w:rPr>
      </w:pPr>
      <w:r>
        <w:rPr>
          <w:rFonts w:hint="eastAsia" w:ascii="仿宋" w:hAnsi="仿宋" w:eastAsia="仿宋" w:cs="仿宋"/>
        </w:rPr>
        <w:t>（二）机构职能。</w:t>
      </w:r>
    </w:p>
    <w:p>
      <w:pPr>
        <w:rPr>
          <w:rFonts w:ascii="仿宋" w:hAnsi="仿宋" w:eastAsia="仿宋" w:cs="仿宋"/>
          <w:sz w:val="32"/>
          <w:szCs w:val="32"/>
        </w:rPr>
      </w:pPr>
      <w:r>
        <w:rPr>
          <w:rFonts w:hint="eastAsia" w:ascii="仿宋" w:hAnsi="仿宋" w:eastAsia="仿宋" w:cs="仿宋"/>
          <w:sz w:val="32"/>
          <w:szCs w:val="32"/>
        </w:rPr>
        <w:t>我院主要开展全州森林资源、野生动物资源、湿地资源、荒漠化土地、草原修复和保护等调查、监测和评价；森林分类区划界定；建设项目使用林地可行性报告编制工作；林业地理信息系统建设；森林资源规划设计调查；实施方案编制；林业专项核查和资源认定；林业作业设计调查；林业数表编制；林业行业标准制定。</w:t>
      </w:r>
    </w:p>
    <w:p>
      <w:pPr>
        <w:pStyle w:val="3"/>
        <w:rPr>
          <w:rFonts w:ascii="仿宋" w:hAnsi="仿宋" w:eastAsia="仿宋" w:cs="仿宋"/>
        </w:rPr>
      </w:pPr>
      <w:r>
        <w:rPr>
          <w:rFonts w:hint="eastAsia" w:ascii="仿宋" w:hAnsi="仿宋" w:eastAsia="仿宋" w:cs="仿宋"/>
        </w:rPr>
        <w:t>（三）人员概况。</w:t>
      </w:r>
    </w:p>
    <w:p>
      <w:pPr>
        <w:rPr>
          <w:rFonts w:ascii="仿宋" w:hAnsi="仿宋" w:eastAsia="仿宋" w:cs="仿宋"/>
          <w:sz w:val="32"/>
          <w:szCs w:val="32"/>
        </w:rPr>
      </w:pPr>
      <w:r>
        <w:rPr>
          <w:rFonts w:hint="eastAsia" w:ascii="仿宋" w:hAnsi="仿宋" w:eastAsia="仿宋" w:cs="仿宋"/>
          <w:sz w:val="32"/>
          <w:szCs w:val="32"/>
        </w:rPr>
        <w:t>2021年年末我院设编制总数130人，现有在编人数100人，空编30人。设置工程技术人员岗位110名，其中，高级工程师22名，工程师44名，助理工程师44名。现有专业技术人员79人，其中正高资格1人，副高资格23人，中级资格43人，初级12人。</w:t>
      </w:r>
    </w:p>
    <w:p>
      <w:pPr>
        <w:pStyle w:val="2"/>
        <w:rPr>
          <w:rFonts w:ascii="仿宋" w:hAnsi="仿宋" w:eastAsia="仿宋" w:cs="仿宋"/>
          <w:sz w:val="32"/>
          <w:szCs w:val="32"/>
        </w:rPr>
      </w:pPr>
      <w:r>
        <w:rPr>
          <w:rFonts w:hint="eastAsia" w:ascii="仿宋" w:hAnsi="仿宋" w:eastAsia="仿宋" w:cs="仿宋"/>
          <w:sz w:val="32"/>
          <w:szCs w:val="32"/>
        </w:rPr>
        <w:t>二、部门财政资金收支情况</w:t>
      </w:r>
    </w:p>
    <w:p>
      <w:pPr>
        <w:pStyle w:val="3"/>
        <w:rPr>
          <w:rFonts w:ascii="仿宋" w:hAnsi="仿宋" w:eastAsia="仿宋" w:cs="仿宋"/>
        </w:rPr>
      </w:pPr>
      <w:r>
        <w:rPr>
          <w:rFonts w:hint="eastAsia" w:ascii="仿宋" w:hAnsi="仿宋" w:eastAsia="仿宋" w:cs="仿宋"/>
        </w:rPr>
        <w:t>（一）部门财政资金收入情况。</w:t>
      </w:r>
    </w:p>
    <w:p>
      <w:pPr>
        <w:rPr>
          <w:rFonts w:ascii="仿宋" w:hAnsi="仿宋" w:eastAsia="仿宋" w:cs="仿宋"/>
          <w:sz w:val="32"/>
          <w:szCs w:val="32"/>
        </w:rPr>
      </w:pPr>
      <w:r>
        <w:rPr>
          <w:rFonts w:hint="eastAsia" w:ascii="仿宋" w:hAnsi="仿宋" w:eastAsia="仿宋" w:cs="仿宋"/>
          <w:sz w:val="32"/>
          <w:szCs w:val="32"/>
        </w:rPr>
        <w:t>本单位2021年收入预算安排总额为3563.80万元，包括一般公共预算财政拨款收入2340.93万元，事业收入1200万元。比上年增加659.27万元，增加22.88%；原因是2021年非税收入安排增加、财返额度增加。</w:t>
      </w:r>
    </w:p>
    <w:p>
      <w:pPr>
        <w:pStyle w:val="3"/>
        <w:rPr>
          <w:rFonts w:ascii="仿宋" w:hAnsi="仿宋" w:eastAsia="仿宋" w:cs="仿宋"/>
        </w:rPr>
      </w:pPr>
      <w:r>
        <w:rPr>
          <w:rFonts w:hint="eastAsia" w:ascii="仿宋" w:hAnsi="仿宋" w:eastAsia="仿宋" w:cs="仿宋"/>
        </w:rPr>
        <w:t>（二）部门财政资金支出情况。</w:t>
      </w:r>
    </w:p>
    <w:p>
      <w:pPr>
        <w:rPr>
          <w:rFonts w:ascii="仿宋" w:hAnsi="仿宋" w:eastAsia="仿宋" w:cs="仿宋"/>
          <w:sz w:val="32"/>
          <w:szCs w:val="32"/>
        </w:rPr>
      </w:pPr>
      <w:r>
        <w:rPr>
          <w:rFonts w:hint="eastAsia" w:ascii="仿宋" w:hAnsi="仿宋" w:eastAsia="仿宋" w:cs="仿宋"/>
          <w:sz w:val="32"/>
          <w:szCs w:val="32"/>
        </w:rPr>
        <w:t>2021年支出执行总额为2749.56万元，其中一般公共预算财政拨款支出1987.17万元，比上年增加402.07万元，增加25.37%，原因是各类人员支出正常递增及工资绩效上调；事业支出762.39万元。比上年减少26.20万元减少3.32%；原因是合理的控制了各项事业支出成本。2021年总支出为2749.56万元，其中拨付1987.17万元用于社会保障和就业、卫生健康、住房保障等基本支出的缴纳，项目支出实际为762.39万元。</w:t>
      </w:r>
    </w:p>
    <w:p>
      <w:pPr>
        <w:rPr>
          <w:rFonts w:ascii="仿宋" w:hAnsi="仿宋" w:eastAsia="仿宋" w:cs="仿宋"/>
          <w:sz w:val="32"/>
          <w:szCs w:val="32"/>
        </w:rPr>
      </w:pPr>
      <w:r>
        <w:rPr>
          <w:rFonts w:hint="eastAsia" w:ascii="仿宋" w:hAnsi="仿宋" w:eastAsia="仿宋" w:cs="仿宋"/>
          <w:sz w:val="32"/>
          <w:szCs w:val="32"/>
        </w:rPr>
        <w:t>2021年支出执行总额为2749.56万元，当年预算执行率77.65%。</w:t>
      </w:r>
    </w:p>
    <w:p>
      <w:pPr>
        <w:pStyle w:val="2"/>
        <w:rPr>
          <w:rFonts w:ascii="仿宋" w:hAnsi="仿宋" w:eastAsia="仿宋" w:cs="仿宋"/>
          <w:sz w:val="32"/>
          <w:szCs w:val="32"/>
        </w:rPr>
      </w:pPr>
      <w:r>
        <w:rPr>
          <w:rFonts w:hint="eastAsia" w:ascii="仿宋" w:hAnsi="仿宋" w:eastAsia="仿宋" w:cs="仿宋"/>
          <w:sz w:val="32"/>
          <w:szCs w:val="32"/>
        </w:rPr>
        <w:t>三、部门整体预算绩效管理情况</w:t>
      </w:r>
    </w:p>
    <w:p>
      <w:pPr>
        <w:pStyle w:val="3"/>
        <w:rPr>
          <w:rFonts w:ascii="仿宋" w:hAnsi="仿宋" w:eastAsia="仿宋" w:cs="仿宋"/>
        </w:rPr>
      </w:pPr>
      <w:r>
        <w:rPr>
          <w:rFonts w:hint="eastAsia" w:ascii="仿宋" w:hAnsi="仿宋" w:eastAsia="仿宋" w:cs="仿宋"/>
        </w:rPr>
        <w:t>（一）部门预算管理。</w:t>
      </w:r>
    </w:p>
    <w:p>
      <w:pPr>
        <w:rPr>
          <w:rFonts w:ascii="仿宋" w:hAnsi="仿宋" w:eastAsia="仿宋" w:cs="仿宋"/>
          <w:sz w:val="32"/>
          <w:szCs w:val="32"/>
        </w:rPr>
      </w:pPr>
      <w:r>
        <w:rPr>
          <w:rFonts w:hint="eastAsia" w:ascii="仿宋" w:hAnsi="仿宋" w:eastAsia="仿宋" w:cs="仿宋"/>
          <w:sz w:val="32"/>
          <w:szCs w:val="32"/>
        </w:rPr>
        <w:t>年度总体绩效目标为“完成签定各类林草类设计合同123个，对全州17个县、市进行了全面的森林资源年度日常监测，完成了木里县、会理市、喜德县的森林火灾风险普查的外业工作”，绩效指标完成情况如下：数量指标“完成全州林业各类设计、调查、检查合同个数”的年度指标值为“大于25个”，实际完成值为“123个”；服务对象满意度指标“职工满意度”的年度指标值为“满意度大于98%以上”，实际完成值为“99%”；服务对象满意度指标“上级主管局和服务对象”的年度指标值为“满意度大于90%以上”，实际完成值为“95%”；数量指标“全州森林资源动态监测”的年度指标值为“全部17个县、市”，实际完成值为“17个县、市”；质量指标“合同优秀率”的年度指标值为“大于80%”，实际完成值为“90%”；时效指标“合同按期完成率”的年度指标值为“达到100%”，实际完成值为“100%”；经济效益指标“非税收入完成率”的年度指标值为“努力完成非税收入目标”，实际完成值为“超收135.4997万”；经济效益指标“从业带动能力”的年度指标值为“在项目施实过程中，可以带动当地村名增加一定的收入无”，实际完成值为“发生劳务、租车等费用达到35万以上”；社会效益指标“提供良好林业服务基础，努力提高全州林业服务能力”的年度指标值为“较上年有所提升”，实际完成值为“达到目标”；生态效益指标“动态监测次数”的年度指标值为“对全州各县要不少于一次以上的实地踏查”，实际完成值为“17个县、市”。本部门年度总预算编制略有偏差，支出控制制度完善，预算动态调整合理有据，预算完成情况良好，资金执行率为77.65%，无违规记录。</w:t>
      </w:r>
    </w:p>
    <w:p>
      <w:pPr>
        <w:pStyle w:val="3"/>
        <w:rPr>
          <w:rFonts w:ascii="仿宋" w:hAnsi="仿宋" w:eastAsia="仿宋" w:cs="仿宋"/>
        </w:rPr>
      </w:pPr>
      <w:r>
        <w:rPr>
          <w:rFonts w:hint="eastAsia" w:ascii="仿宋" w:hAnsi="仿宋" w:eastAsia="仿宋" w:cs="仿宋"/>
        </w:rPr>
        <w:t>（二）结果应用情况。</w:t>
      </w:r>
    </w:p>
    <w:p>
      <w:pPr>
        <w:rPr>
          <w:rFonts w:ascii="仿宋" w:hAnsi="仿宋" w:eastAsia="仿宋" w:cs="仿宋"/>
          <w:sz w:val="32"/>
          <w:szCs w:val="32"/>
        </w:rPr>
      </w:pPr>
      <w:r>
        <w:rPr>
          <w:rFonts w:hint="eastAsia" w:ascii="仿宋" w:hAnsi="仿宋" w:eastAsia="仿宋" w:cs="仿宋"/>
          <w:sz w:val="32"/>
          <w:szCs w:val="32"/>
        </w:rPr>
        <w:t>按规定公开单位预算、决算及绩效等相关信息。其中：2021年3月在凉山州人民政府网站公开2021年部门预算信息，含部门收支总表、财政拨款收支总表、财政拨款“三公”经费表、部门项目绩效指标表等。同时相关预决算信息、绩效目标及绩效自评报告等已在单位官方网站公开。</w:t>
      </w:r>
    </w:p>
    <w:p>
      <w:pPr>
        <w:pStyle w:val="2"/>
        <w:rPr>
          <w:rFonts w:ascii="仿宋" w:hAnsi="仿宋" w:eastAsia="仿宋" w:cs="仿宋"/>
          <w:sz w:val="32"/>
          <w:szCs w:val="32"/>
        </w:rPr>
      </w:pPr>
      <w:r>
        <w:rPr>
          <w:rFonts w:hint="eastAsia" w:ascii="仿宋" w:hAnsi="仿宋" w:eastAsia="仿宋" w:cs="仿宋"/>
          <w:sz w:val="32"/>
          <w:szCs w:val="32"/>
        </w:rPr>
        <w:t>四、评价结论及建议</w:t>
      </w:r>
    </w:p>
    <w:p>
      <w:pPr>
        <w:pStyle w:val="3"/>
        <w:rPr>
          <w:rFonts w:ascii="仿宋" w:hAnsi="仿宋" w:eastAsia="仿宋" w:cs="仿宋"/>
        </w:rPr>
      </w:pPr>
      <w:r>
        <w:rPr>
          <w:rFonts w:hint="eastAsia" w:ascii="仿宋" w:hAnsi="仿宋" w:eastAsia="仿宋" w:cs="仿宋"/>
        </w:rPr>
        <w:t>（一）评价结论。</w:t>
      </w:r>
    </w:p>
    <w:p>
      <w:pPr>
        <w:rPr>
          <w:rFonts w:ascii="仿宋" w:hAnsi="仿宋" w:eastAsia="仿宋" w:cs="仿宋"/>
          <w:sz w:val="32"/>
          <w:szCs w:val="32"/>
        </w:rPr>
      </w:pPr>
      <w:r>
        <w:rPr>
          <w:rFonts w:hint="eastAsia" w:ascii="仿宋" w:hAnsi="仿宋" w:eastAsia="仿宋" w:cs="仿宋"/>
          <w:sz w:val="32"/>
          <w:szCs w:val="32"/>
        </w:rPr>
        <w:t>经评价，支出总体平衡,基本保障了部门整体的正常运转和履行职能职责,实现了项目预期效果。评价为“良”。</w:t>
      </w:r>
    </w:p>
    <w:p>
      <w:pPr>
        <w:pStyle w:val="3"/>
        <w:rPr>
          <w:rFonts w:ascii="仿宋" w:hAnsi="仿宋" w:eastAsia="仿宋" w:cs="仿宋"/>
        </w:rPr>
      </w:pPr>
      <w:r>
        <w:rPr>
          <w:rFonts w:hint="eastAsia" w:ascii="仿宋" w:hAnsi="仿宋" w:eastAsia="仿宋" w:cs="仿宋"/>
        </w:rPr>
        <w:t>（二）存在问题。</w:t>
      </w:r>
    </w:p>
    <w:p>
      <w:pPr>
        <w:rPr>
          <w:rFonts w:ascii="仿宋" w:hAnsi="仿宋" w:eastAsia="仿宋" w:cs="仿宋"/>
          <w:sz w:val="32"/>
          <w:szCs w:val="32"/>
        </w:rPr>
      </w:pPr>
      <w:r>
        <w:rPr>
          <w:rFonts w:hint="eastAsia" w:ascii="仿宋" w:hAnsi="仿宋" w:eastAsia="仿宋" w:cs="仿宋"/>
          <w:sz w:val="32"/>
          <w:szCs w:val="32"/>
        </w:rPr>
        <w:t>1.资金执行率为77.65%，未全部执行，原因是我院为“核定差额拨款事业”编制，凉山州财政局按人员经费（包括工资及福利支出、社会福利和救助、其他对个人和家庭支出）预算总额的70%拨付我院全年总经费，公用经费财政未拨付。财政拨款不足部分，包括人员经费的30%差额部分和全部公用经费，均由我院参与林业调查规划设计市场竞争，开展生产经营活动取得收入弥补。因此，凉山州2021年部门整体支出绩效评价指标体系中的很多考核指标不适用我单位。我院非税收入全部上缴财政，同时财政又全额返还我院用于弥补人员经费不足和单位事业发展的各类支出。我院的非税收入具有不确定性，每年产生的收入，我院不能一次性全部用完；若次年我院非税收入减少，将会使用结余部分来弥补。</w:t>
      </w:r>
    </w:p>
    <w:p>
      <w:pPr>
        <w:pStyle w:val="3"/>
        <w:rPr>
          <w:rFonts w:ascii="仿宋" w:hAnsi="仿宋" w:eastAsia="仿宋" w:cs="仿宋"/>
        </w:rPr>
      </w:pPr>
      <w:r>
        <w:rPr>
          <w:rFonts w:hint="eastAsia" w:ascii="仿宋" w:hAnsi="仿宋" w:eastAsia="仿宋" w:cs="仿宋"/>
        </w:rPr>
        <w:t>（三）改进建议。</w:t>
      </w:r>
    </w:p>
    <w:p>
      <w:pPr>
        <w:rPr>
          <w:rFonts w:ascii="仿宋" w:hAnsi="仿宋" w:eastAsia="仿宋" w:cs="仿宋"/>
          <w:sz w:val="32"/>
          <w:szCs w:val="32"/>
        </w:rPr>
      </w:pPr>
      <w:r>
        <w:rPr>
          <w:rFonts w:hint="eastAsia" w:ascii="仿宋" w:hAnsi="仿宋" w:eastAsia="仿宋" w:cs="仿宋"/>
          <w:sz w:val="32"/>
          <w:szCs w:val="32"/>
        </w:rPr>
        <w:t>一是预算支出进度有待进一步提高。二是完善管理制度，进一步加强资产管理。三是加强财务人员的业务素质。</w:t>
      </w:r>
    </w:p>
    <w:p>
      <w:pPr>
        <w:rPr>
          <w:rFonts w:ascii="仿宋" w:hAnsi="仿宋" w:eastAsia="仿宋" w:cs="仿宋"/>
          <w:sz w:val="32"/>
          <w:szCs w:val="32"/>
        </w:rPr>
      </w:pPr>
    </w:p>
    <w:p>
      <w:pPr>
        <w:pStyle w:val="3"/>
        <w:rPr>
          <w:rStyle w:val="24"/>
          <w:rFonts w:ascii="仿宋" w:hAnsi="仿宋" w:eastAsia="仿宋" w:cs="仿宋"/>
          <w:b w:val="0"/>
          <w:bCs w:val="0"/>
          <w:sz w:val="32"/>
          <w:szCs w:val="32"/>
        </w:rPr>
      </w:pPr>
      <w:bookmarkStart w:id="56" w:name="_Toc15396617"/>
      <w:r>
        <w:rPr>
          <w:rStyle w:val="24"/>
          <w:rFonts w:hint="eastAsia" w:ascii="仿宋" w:hAnsi="仿宋" w:eastAsia="仿宋" w:cs="仿宋"/>
          <w:b w:val="0"/>
          <w:bCs w:val="0"/>
          <w:sz w:val="32"/>
          <w:szCs w:val="32"/>
        </w:rPr>
        <w:t>附件2</w:t>
      </w:r>
      <w:bookmarkEnd w:id="56"/>
    </w:p>
    <w:p>
      <w:pPr>
        <w:jc w:val="center"/>
        <w:rPr>
          <w:rFonts w:ascii="仿宋" w:hAnsi="仿宋" w:eastAsia="仿宋" w:cs="仿宋"/>
          <w:sz w:val="32"/>
          <w:szCs w:val="32"/>
        </w:rPr>
      </w:pPr>
      <w:r>
        <w:rPr>
          <w:rFonts w:hint="eastAsia" w:ascii="仿宋" w:hAnsi="仿宋" w:eastAsia="仿宋" w:cs="仿宋"/>
          <w:sz w:val="32"/>
          <w:szCs w:val="32"/>
        </w:rPr>
        <w:t>凉山州林业调查规划设计院</w:t>
      </w:r>
    </w:p>
    <w:p>
      <w:pPr>
        <w:jc w:val="center"/>
        <w:rPr>
          <w:rFonts w:ascii="仿宋" w:hAnsi="仿宋" w:eastAsia="仿宋" w:cs="仿宋"/>
          <w:sz w:val="32"/>
          <w:szCs w:val="32"/>
        </w:rPr>
      </w:pPr>
      <w:r>
        <w:rPr>
          <w:rFonts w:hint="eastAsia" w:ascii="仿宋" w:hAnsi="仿宋" w:eastAsia="仿宋" w:cs="仿宋"/>
          <w:sz w:val="32"/>
          <w:szCs w:val="32"/>
        </w:rPr>
        <w:t>2021年森林资源年度动态监测费项目绩效自评报告</w:t>
      </w:r>
    </w:p>
    <w:p>
      <w:pPr>
        <w:rPr>
          <w:rFonts w:ascii="仿宋" w:hAnsi="仿宋" w:eastAsia="仿宋" w:cs="仿宋"/>
          <w:sz w:val="32"/>
          <w:szCs w:val="32"/>
        </w:rPr>
      </w:pPr>
    </w:p>
    <w:p>
      <w:pPr>
        <w:pStyle w:val="2"/>
        <w:rPr>
          <w:rFonts w:ascii="仿宋" w:hAnsi="仿宋" w:eastAsia="仿宋" w:cs="仿宋"/>
          <w:sz w:val="32"/>
          <w:szCs w:val="32"/>
        </w:rPr>
      </w:pPr>
      <w:r>
        <w:rPr>
          <w:rFonts w:hint="eastAsia" w:ascii="仿宋" w:hAnsi="仿宋" w:eastAsia="仿宋" w:cs="仿宋"/>
          <w:sz w:val="32"/>
          <w:szCs w:val="32"/>
        </w:rPr>
        <w:t>一、项目概况</w:t>
      </w:r>
    </w:p>
    <w:p>
      <w:pPr>
        <w:pStyle w:val="3"/>
        <w:rPr>
          <w:rFonts w:ascii="仿宋" w:hAnsi="仿宋" w:eastAsia="仿宋" w:cs="仿宋"/>
        </w:rPr>
      </w:pPr>
      <w:r>
        <w:rPr>
          <w:rFonts w:hint="eastAsia" w:ascii="仿宋" w:hAnsi="仿宋" w:eastAsia="仿宋" w:cs="仿宋"/>
        </w:rPr>
        <w:t>（一）项目资金申报及批复情况。</w:t>
      </w:r>
    </w:p>
    <w:p>
      <w:pPr>
        <w:rPr>
          <w:rFonts w:ascii="仿宋" w:hAnsi="仿宋" w:eastAsia="仿宋" w:cs="仿宋"/>
          <w:sz w:val="32"/>
          <w:szCs w:val="32"/>
        </w:rPr>
      </w:pPr>
      <w:r>
        <w:rPr>
          <w:rFonts w:hint="eastAsia" w:ascii="仿宋" w:hAnsi="仿宋" w:eastAsia="仿宋" w:cs="仿宋"/>
          <w:sz w:val="32"/>
          <w:szCs w:val="32"/>
        </w:rPr>
        <w:t>年初预算数申报25.5万元，财政批复预算25.5万元。</w:t>
      </w:r>
    </w:p>
    <w:p>
      <w:pPr>
        <w:pStyle w:val="3"/>
        <w:rPr>
          <w:rFonts w:ascii="仿宋" w:hAnsi="仿宋" w:eastAsia="仿宋" w:cs="仿宋"/>
        </w:rPr>
      </w:pPr>
      <w:r>
        <w:rPr>
          <w:rFonts w:hint="eastAsia" w:ascii="仿宋" w:hAnsi="仿宋" w:eastAsia="仿宋" w:cs="仿宋"/>
        </w:rPr>
        <w:t>（二）项目绩效目标。</w:t>
      </w:r>
    </w:p>
    <w:p>
      <w:pPr>
        <w:pStyle w:val="4"/>
        <w:rPr>
          <w:rFonts w:ascii="仿宋" w:hAnsi="仿宋" w:eastAsia="仿宋" w:cs="仿宋"/>
        </w:rPr>
      </w:pPr>
      <w:r>
        <w:rPr>
          <w:rFonts w:hint="eastAsia" w:ascii="仿宋" w:hAnsi="仿宋" w:eastAsia="仿宋" w:cs="仿宋"/>
        </w:rPr>
        <w:t>1.项目主要内容</w:t>
      </w:r>
    </w:p>
    <w:p>
      <w:pPr>
        <w:rPr>
          <w:rFonts w:ascii="仿宋" w:hAnsi="仿宋" w:eastAsia="仿宋" w:cs="仿宋"/>
          <w:sz w:val="32"/>
          <w:szCs w:val="32"/>
        </w:rPr>
      </w:pPr>
      <w:r>
        <w:rPr>
          <w:rFonts w:hint="eastAsia" w:ascii="仿宋" w:hAnsi="仿宋" w:eastAsia="仿宋" w:cs="仿宋"/>
          <w:sz w:val="32"/>
          <w:szCs w:val="32"/>
        </w:rPr>
        <w:t>完成了对全州17县、市的森林资源年度日常监测，掌握了动态变化情况。</w:t>
      </w:r>
    </w:p>
    <w:p>
      <w:pPr>
        <w:pStyle w:val="4"/>
        <w:rPr>
          <w:rFonts w:ascii="仿宋" w:hAnsi="仿宋" w:eastAsia="仿宋" w:cs="仿宋"/>
        </w:rPr>
      </w:pPr>
      <w:r>
        <w:rPr>
          <w:rFonts w:hint="eastAsia" w:ascii="仿宋" w:hAnsi="仿宋" w:eastAsia="仿宋" w:cs="仿宋"/>
        </w:rPr>
        <w:t>2.项目绩效目标</w:t>
      </w:r>
    </w:p>
    <w:p>
      <w:pPr>
        <w:rPr>
          <w:rFonts w:ascii="仿宋" w:hAnsi="仿宋" w:eastAsia="仿宋" w:cs="仿宋"/>
          <w:sz w:val="32"/>
          <w:szCs w:val="32"/>
        </w:rPr>
      </w:pPr>
      <w:r>
        <w:rPr>
          <w:rFonts w:hint="eastAsia" w:ascii="仿宋" w:hAnsi="仿宋" w:eastAsia="仿宋" w:cs="仿宋"/>
          <w:sz w:val="32"/>
          <w:szCs w:val="32"/>
        </w:rPr>
        <w:t>数量指标“森林资源动态监测数量”的指标值为“17个县（市）”；服务对象满意度指标“森林资源决策数据满意度”的指标值为“95%以上”；数量指标“已批复的征占林地进行现地核实检查”的指标值为“每个县（市）抽取5宗”；质量指标“森林资源动态监测质量”的指标值为“符合国家森林资源动态监测质量要求”；时效指标“当年森林资源动态监测完成率(%)”的指标值为“达到100%”；成本指标“州级森林资源动态监测财政补助标准（万元/县）”的指标值为“1.5万元”；生态效益指标“森林生态系统”的指标值为“稳定”；可持续影响指标“政府森林资源决策数据是否准确”的指标值为“准确”。</w:t>
      </w:r>
    </w:p>
    <w:p>
      <w:pPr>
        <w:rPr>
          <w:rFonts w:ascii="仿宋" w:hAnsi="仿宋" w:eastAsia="仿宋" w:cs="仿宋"/>
          <w:sz w:val="32"/>
          <w:szCs w:val="32"/>
        </w:rPr>
      </w:pPr>
      <w:r>
        <w:rPr>
          <w:rFonts w:hint="eastAsia" w:ascii="仿宋" w:hAnsi="仿宋" w:eastAsia="仿宋" w:cs="仿宋"/>
          <w:sz w:val="32"/>
          <w:szCs w:val="32"/>
        </w:rPr>
        <w:t>项目制定了切实可行的目标计划，量化具体、细化可行，项目实施进度计划合理，具体绩效目标见财政项目支出绩效评价指标体系。</w:t>
      </w:r>
    </w:p>
    <w:p>
      <w:pPr>
        <w:pStyle w:val="3"/>
        <w:rPr>
          <w:rFonts w:ascii="仿宋" w:hAnsi="仿宋" w:eastAsia="仿宋" w:cs="仿宋"/>
        </w:rPr>
      </w:pPr>
      <w:r>
        <w:rPr>
          <w:rFonts w:hint="eastAsia" w:ascii="仿宋" w:hAnsi="仿宋" w:eastAsia="仿宋" w:cs="仿宋"/>
        </w:rPr>
        <w:t>（三）项目资金申报相符性。</w:t>
      </w:r>
    </w:p>
    <w:p>
      <w:pPr>
        <w:rPr>
          <w:rFonts w:ascii="仿宋" w:hAnsi="仿宋" w:eastAsia="仿宋" w:cs="仿宋"/>
          <w:sz w:val="32"/>
          <w:szCs w:val="32"/>
        </w:rPr>
      </w:pPr>
      <w:r>
        <w:rPr>
          <w:rFonts w:hint="eastAsia" w:ascii="仿宋" w:hAnsi="仿宋" w:eastAsia="仿宋" w:cs="仿宋"/>
          <w:sz w:val="32"/>
          <w:szCs w:val="32"/>
        </w:rPr>
        <w:t>各项目申报内容与具体实施内容相符，申报目标合理可行。</w:t>
      </w:r>
    </w:p>
    <w:p>
      <w:pPr>
        <w:pStyle w:val="2"/>
        <w:rPr>
          <w:rFonts w:ascii="仿宋" w:hAnsi="仿宋" w:eastAsia="仿宋" w:cs="仿宋"/>
          <w:sz w:val="32"/>
          <w:szCs w:val="32"/>
        </w:rPr>
      </w:pPr>
      <w:r>
        <w:rPr>
          <w:rFonts w:hint="eastAsia" w:ascii="仿宋" w:hAnsi="仿宋" w:eastAsia="仿宋" w:cs="仿宋"/>
          <w:sz w:val="32"/>
          <w:szCs w:val="32"/>
        </w:rPr>
        <w:t>二、项目实施及管理情况</w:t>
      </w:r>
    </w:p>
    <w:p>
      <w:pPr>
        <w:pStyle w:val="3"/>
        <w:rPr>
          <w:rFonts w:ascii="仿宋" w:hAnsi="仿宋" w:eastAsia="仿宋" w:cs="仿宋"/>
        </w:rPr>
      </w:pPr>
      <w:r>
        <w:rPr>
          <w:rFonts w:hint="eastAsia" w:ascii="仿宋" w:hAnsi="仿宋" w:eastAsia="仿宋" w:cs="仿宋"/>
        </w:rPr>
        <w:t>（一）资金计划、到位及使用情况。</w:t>
      </w:r>
    </w:p>
    <w:p>
      <w:pPr>
        <w:pStyle w:val="4"/>
        <w:rPr>
          <w:rFonts w:ascii="仿宋" w:hAnsi="仿宋" w:eastAsia="仿宋" w:cs="仿宋"/>
        </w:rPr>
      </w:pPr>
      <w:r>
        <w:rPr>
          <w:rFonts w:hint="eastAsia" w:ascii="仿宋" w:hAnsi="仿宋" w:eastAsia="仿宋" w:cs="仿宋"/>
        </w:rPr>
        <w:t>1.资金计划及到位</w:t>
      </w:r>
    </w:p>
    <w:p>
      <w:pPr>
        <w:rPr>
          <w:rFonts w:ascii="仿宋" w:hAnsi="仿宋" w:eastAsia="仿宋" w:cs="仿宋"/>
          <w:sz w:val="32"/>
          <w:szCs w:val="32"/>
        </w:rPr>
      </w:pPr>
      <w:r>
        <w:rPr>
          <w:rFonts w:hint="eastAsia" w:ascii="仿宋" w:hAnsi="仿宋" w:eastAsia="仿宋" w:cs="仿宋"/>
          <w:sz w:val="32"/>
          <w:szCs w:val="32"/>
        </w:rPr>
        <w:t>资金批复25.5万元，实际到位25.5万元，到位率为100%。</w:t>
      </w:r>
    </w:p>
    <w:p>
      <w:pPr>
        <w:pStyle w:val="4"/>
        <w:rPr>
          <w:rFonts w:ascii="仿宋" w:hAnsi="仿宋" w:eastAsia="仿宋" w:cs="仿宋"/>
        </w:rPr>
      </w:pPr>
      <w:r>
        <w:rPr>
          <w:rFonts w:hint="eastAsia" w:ascii="仿宋" w:hAnsi="仿宋" w:eastAsia="仿宋" w:cs="仿宋"/>
        </w:rPr>
        <w:t>2.资金使用</w:t>
      </w:r>
    </w:p>
    <w:p>
      <w:pPr>
        <w:rPr>
          <w:rFonts w:ascii="仿宋" w:hAnsi="仿宋" w:eastAsia="仿宋" w:cs="仿宋"/>
          <w:sz w:val="32"/>
          <w:szCs w:val="32"/>
        </w:rPr>
      </w:pPr>
      <w:r>
        <w:rPr>
          <w:rFonts w:hint="eastAsia" w:ascii="仿宋" w:hAnsi="仿宋" w:eastAsia="仿宋" w:cs="仿宋"/>
          <w:sz w:val="32"/>
          <w:szCs w:val="32"/>
        </w:rPr>
        <w:t>到目前为止项目共投入资金23.5879万元，资金执行率为92.50%。资金开支范围、标准及支付进度,支付依据合规合法,资金支付与预算相符。</w:t>
      </w:r>
    </w:p>
    <w:p>
      <w:pPr>
        <w:pStyle w:val="3"/>
        <w:rPr>
          <w:rFonts w:ascii="仿宋" w:hAnsi="仿宋" w:eastAsia="仿宋" w:cs="仿宋"/>
        </w:rPr>
      </w:pPr>
      <w:r>
        <w:rPr>
          <w:rFonts w:hint="eastAsia" w:ascii="仿宋" w:hAnsi="仿宋" w:eastAsia="仿宋" w:cs="仿宋"/>
        </w:rPr>
        <w:t>（二）项目财务管理情况。</w:t>
      </w:r>
    </w:p>
    <w:p>
      <w:pPr>
        <w:rPr>
          <w:rFonts w:ascii="仿宋" w:hAnsi="仿宋" w:eastAsia="仿宋" w:cs="仿宋"/>
          <w:sz w:val="32"/>
          <w:szCs w:val="32"/>
        </w:rPr>
      </w:pPr>
      <w:r>
        <w:rPr>
          <w:rFonts w:hint="eastAsia" w:ascii="仿宋" w:hAnsi="仿宋" w:eastAsia="仿宋" w:cs="仿宋"/>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pPr>
        <w:pStyle w:val="3"/>
        <w:rPr>
          <w:rFonts w:ascii="仿宋" w:hAnsi="仿宋" w:eastAsia="仿宋" w:cs="仿宋"/>
        </w:rPr>
      </w:pPr>
      <w:r>
        <w:rPr>
          <w:rFonts w:hint="eastAsia" w:ascii="仿宋" w:hAnsi="仿宋" w:eastAsia="仿宋" w:cs="仿宋"/>
        </w:rPr>
        <w:t>（三）项目组织实施情况。</w:t>
      </w:r>
    </w:p>
    <w:p>
      <w:pPr>
        <w:pStyle w:val="4"/>
        <w:rPr>
          <w:rFonts w:ascii="仿宋" w:hAnsi="仿宋" w:eastAsia="仿宋" w:cs="仿宋"/>
        </w:rPr>
      </w:pPr>
      <w:r>
        <w:rPr>
          <w:rFonts w:hint="eastAsia" w:ascii="仿宋" w:hAnsi="仿宋" w:eastAsia="仿宋" w:cs="仿宋"/>
        </w:rPr>
        <w:t>1.机构设置。</w:t>
      </w:r>
    </w:p>
    <w:p>
      <w:pPr>
        <w:rPr>
          <w:rFonts w:ascii="仿宋" w:hAnsi="仿宋" w:eastAsia="仿宋" w:cs="仿宋"/>
          <w:sz w:val="32"/>
          <w:szCs w:val="32"/>
        </w:rPr>
      </w:pPr>
      <w:r>
        <w:rPr>
          <w:rFonts w:hint="eastAsia" w:ascii="仿宋" w:hAnsi="仿宋" w:eastAsia="仿宋" w:cs="仿宋"/>
          <w:sz w:val="32"/>
          <w:szCs w:val="32"/>
        </w:rPr>
        <w:t>财政资金主管部门为转拨单位，负责安排预算资金，预算批复后拨付资金，负责对资金使用情况进行监督检查。</w:t>
      </w:r>
    </w:p>
    <w:p>
      <w:pPr>
        <w:rPr>
          <w:rFonts w:ascii="仿宋" w:hAnsi="仿宋" w:eastAsia="仿宋" w:cs="仿宋"/>
          <w:sz w:val="32"/>
          <w:szCs w:val="32"/>
        </w:rPr>
      </w:pPr>
      <w:r>
        <w:rPr>
          <w:rFonts w:hint="eastAsia" w:ascii="仿宋" w:hAnsi="仿宋" w:eastAsia="仿宋" w:cs="仿宋"/>
          <w:sz w:val="32"/>
          <w:szCs w:val="32"/>
        </w:rPr>
        <w:t>项目的主管单位为凉山州林业和草原局，项目的执行单位为凉山州林业调查规划设计院，主要负责项目的具体实施、人员安排、风险管控、预算执行等，负责对按政府采购方式确定服务主体，并对项目服务单位进行监管。</w:t>
      </w:r>
    </w:p>
    <w:p>
      <w:pPr>
        <w:pStyle w:val="4"/>
        <w:rPr>
          <w:rFonts w:ascii="仿宋" w:hAnsi="仿宋" w:eastAsia="仿宋" w:cs="仿宋"/>
        </w:rPr>
      </w:pPr>
      <w:r>
        <w:rPr>
          <w:rFonts w:hint="eastAsia" w:ascii="仿宋" w:hAnsi="仿宋" w:eastAsia="仿宋" w:cs="仿宋"/>
        </w:rPr>
        <w:t>2.项目监管。</w:t>
      </w:r>
    </w:p>
    <w:p>
      <w:pPr>
        <w:rPr>
          <w:rFonts w:ascii="仿宋" w:hAnsi="仿宋" w:eastAsia="仿宋" w:cs="仿宋"/>
          <w:sz w:val="32"/>
          <w:szCs w:val="32"/>
        </w:rPr>
      </w:pPr>
      <w:r>
        <w:rPr>
          <w:rFonts w:hint="eastAsia" w:ascii="仿宋" w:hAnsi="仿宋" w:eastAsia="仿宋" w:cs="仿宋"/>
          <w:sz w:val="32"/>
          <w:szCs w:val="32"/>
        </w:rPr>
        <w:t>项目实施单位严格按照相关业务管理办法进行项目实施管理，按照项目计划进度实施，专项资金做到了专款专用，经费支出符合规范。</w:t>
      </w:r>
    </w:p>
    <w:p>
      <w:pPr>
        <w:pStyle w:val="4"/>
        <w:rPr>
          <w:rFonts w:ascii="仿宋" w:hAnsi="仿宋" w:eastAsia="仿宋" w:cs="仿宋"/>
        </w:rPr>
      </w:pPr>
      <w:r>
        <w:rPr>
          <w:rFonts w:hint="eastAsia" w:ascii="仿宋" w:hAnsi="仿宋" w:eastAsia="仿宋" w:cs="仿宋"/>
        </w:rPr>
        <w:t>3.项目执行制度。</w:t>
      </w:r>
    </w:p>
    <w:p>
      <w:pPr>
        <w:rPr>
          <w:rFonts w:ascii="仿宋" w:hAnsi="仿宋" w:eastAsia="仿宋" w:cs="仿宋"/>
          <w:sz w:val="32"/>
          <w:szCs w:val="32"/>
        </w:rPr>
      </w:pPr>
      <w:r>
        <w:rPr>
          <w:rFonts w:hint="eastAsia" w:ascii="仿宋" w:hAnsi="仿宋" w:eastAsia="仿宋" w:cs="仿宋"/>
          <w:sz w:val="32"/>
          <w:szCs w:val="32"/>
        </w:rPr>
        <w:t>为加强项目管理，确保项目落到实处，充分发挥专项资金的引导作用，主要通过对项目实施情况进行不定期进度检查等现场监管手段，监管各项目工作开展情况，同时对项目资金到位情况和使用情况进行督促检查，对发现的违规现象及时纠正，确保项目资金及时到位，确保项目承担单位按照资金管理办法支出范围进行支出，保证了项目承担单位做到专款专用。在规范管理监督下，项目承担单位建立了规范的财务制度，项目按照计划规范实施，保障了项目的顺利实施。</w:t>
      </w:r>
    </w:p>
    <w:p>
      <w:pPr>
        <w:pStyle w:val="2"/>
        <w:rPr>
          <w:rFonts w:ascii="仿宋" w:hAnsi="仿宋" w:eastAsia="仿宋" w:cs="仿宋"/>
          <w:sz w:val="32"/>
          <w:szCs w:val="32"/>
        </w:rPr>
      </w:pPr>
      <w:r>
        <w:rPr>
          <w:rFonts w:hint="eastAsia" w:ascii="仿宋" w:hAnsi="仿宋" w:eastAsia="仿宋" w:cs="仿宋"/>
          <w:sz w:val="32"/>
          <w:szCs w:val="32"/>
        </w:rPr>
        <w:t>三、项目绩效情况</w:t>
      </w:r>
    </w:p>
    <w:p>
      <w:pPr>
        <w:pStyle w:val="3"/>
        <w:rPr>
          <w:rFonts w:ascii="仿宋" w:hAnsi="仿宋" w:eastAsia="仿宋" w:cs="仿宋"/>
        </w:rPr>
      </w:pPr>
      <w:r>
        <w:rPr>
          <w:rFonts w:hint="eastAsia" w:ascii="仿宋" w:hAnsi="仿宋" w:eastAsia="仿宋" w:cs="仿宋"/>
        </w:rPr>
        <w:t>（一）项目完成情况。</w:t>
      </w:r>
    </w:p>
    <w:p>
      <w:pPr>
        <w:rPr>
          <w:rFonts w:ascii="仿宋" w:hAnsi="仿宋" w:eastAsia="仿宋" w:cs="仿宋"/>
          <w:sz w:val="32"/>
          <w:szCs w:val="32"/>
        </w:rPr>
      </w:pPr>
      <w:r>
        <w:rPr>
          <w:rFonts w:hint="eastAsia" w:ascii="仿宋" w:hAnsi="仿宋" w:eastAsia="仿宋" w:cs="仿宋"/>
          <w:sz w:val="32"/>
          <w:szCs w:val="32"/>
        </w:rPr>
        <w:t>本项目共5条产出指标，其中：数量指标“森林资源动态监测数量”的年度指标值为“17个县（市）”，实际完成值为“17个县（市）”；数量指标“已批复的征占林地进行现地核实检查”的年度指标值为“每个县（市）抽取5宗”，实际完成值为“每个县（市）抽取大于5宗”；质量指标“森林资源动态监测质量”的年度指标值为“符合国家森林资源动态监测质量要求”，实际完成值为“符合”；时效指标“当年森林资源动态监测完成率(%)”的年度指标值为“达到100%”，实际完成值为“100%”；成本指标“州级森林资源动态监测财政补助标准（万元/县）”的年度指标值为“1.5万元”，实际完成值为“1.5万元”。目前项目已完成验收，成本控制在项目计划内，完成了项目计划完成目标。</w:t>
      </w:r>
    </w:p>
    <w:p>
      <w:pPr>
        <w:pStyle w:val="3"/>
        <w:rPr>
          <w:rFonts w:ascii="仿宋" w:hAnsi="仿宋" w:eastAsia="仿宋" w:cs="仿宋"/>
        </w:rPr>
      </w:pPr>
      <w:r>
        <w:rPr>
          <w:rFonts w:hint="eastAsia" w:ascii="仿宋" w:hAnsi="仿宋" w:eastAsia="仿宋" w:cs="仿宋"/>
        </w:rPr>
        <w:t>（二）项目效益情况。</w:t>
      </w:r>
    </w:p>
    <w:p>
      <w:pPr>
        <w:rPr>
          <w:rFonts w:ascii="仿宋" w:hAnsi="仿宋" w:eastAsia="仿宋" w:cs="仿宋"/>
          <w:sz w:val="32"/>
          <w:szCs w:val="32"/>
        </w:rPr>
      </w:pPr>
      <w:r>
        <w:rPr>
          <w:rFonts w:hint="eastAsia" w:ascii="仿宋" w:hAnsi="仿宋" w:eastAsia="仿宋" w:cs="仿宋"/>
          <w:sz w:val="32"/>
          <w:szCs w:val="32"/>
        </w:rPr>
        <w:t>本项目共2条效益指标，其中：生态效益指标“森林生态系统”的年度指标值为“稳定”，实际完成值为“稳定”；可持续影响指标“政府森林资源决策数据是否准确”的年度指标值为“准确”，实际完成值为“准确”。</w:t>
      </w:r>
    </w:p>
    <w:p>
      <w:pPr>
        <w:pStyle w:val="2"/>
        <w:rPr>
          <w:rFonts w:ascii="仿宋" w:hAnsi="仿宋" w:eastAsia="仿宋" w:cs="仿宋"/>
          <w:sz w:val="32"/>
          <w:szCs w:val="32"/>
        </w:rPr>
      </w:pPr>
      <w:r>
        <w:rPr>
          <w:rFonts w:hint="eastAsia" w:ascii="仿宋" w:hAnsi="仿宋" w:eastAsia="仿宋" w:cs="仿宋"/>
          <w:sz w:val="32"/>
          <w:szCs w:val="32"/>
        </w:rPr>
        <w:t>四、问题及建议</w:t>
      </w:r>
    </w:p>
    <w:p>
      <w:pPr>
        <w:pStyle w:val="3"/>
        <w:rPr>
          <w:rFonts w:ascii="仿宋" w:hAnsi="仿宋" w:eastAsia="仿宋" w:cs="仿宋"/>
        </w:rPr>
      </w:pPr>
      <w:r>
        <w:rPr>
          <w:rFonts w:hint="eastAsia" w:ascii="仿宋" w:hAnsi="仿宋" w:eastAsia="仿宋" w:cs="仿宋"/>
        </w:rPr>
        <w:t>（一）存在的问题。</w:t>
      </w:r>
    </w:p>
    <w:p>
      <w:pPr>
        <w:rPr>
          <w:rFonts w:ascii="仿宋" w:hAnsi="仿宋" w:eastAsia="仿宋" w:cs="仿宋"/>
          <w:sz w:val="32"/>
          <w:szCs w:val="32"/>
        </w:rPr>
      </w:pPr>
      <w:r>
        <w:rPr>
          <w:rFonts w:hint="eastAsia" w:ascii="仿宋" w:hAnsi="仿宋" w:eastAsia="仿宋" w:cs="仿宋"/>
          <w:sz w:val="32"/>
          <w:szCs w:val="32"/>
        </w:rPr>
        <w:t>1.资金执行率为92.50%，未全部执行，原因是采购商品后剩余少量资金。</w:t>
      </w:r>
    </w:p>
    <w:p>
      <w:pPr>
        <w:pStyle w:val="3"/>
        <w:rPr>
          <w:rFonts w:ascii="仿宋" w:hAnsi="仿宋" w:eastAsia="仿宋" w:cs="仿宋"/>
        </w:rPr>
      </w:pPr>
      <w:r>
        <w:rPr>
          <w:rFonts w:hint="eastAsia" w:ascii="仿宋" w:hAnsi="仿宋" w:eastAsia="仿宋" w:cs="仿宋"/>
        </w:rPr>
        <w:t>（二）相关建议。</w:t>
      </w:r>
    </w:p>
    <w:p>
      <w:pPr>
        <w:rPr>
          <w:rFonts w:ascii="仿宋" w:hAnsi="仿宋" w:eastAsia="仿宋" w:cs="仿宋"/>
          <w:sz w:val="32"/>
          <w:szCs w:val="32"/>
        </w:rPr>
      </w:pPr>
      <w:r>
        <w:rPr>
          <w:rFonts w:hint="eastAsia" w:ascii="仿宋" w:hAnsi="仿宋" w:eastAsia="仿宋" w:cs="仿宋"/>
          <w:sz w:val="32"/>
          <w:szCs w:val="32"/>
        </w:rPr>
        <w:t>1.完善预算管理制度、财务管理制度，合理预算执行进度。健全单位财务管理制度体系，规范单位财务行为。掌握好财务结算支出进度，充分发挥财政资金的使用效益。</w:t>
      </w:r>
    </w:p>
    <w:p>
      <w:pPr>
        <w:rPr>
          <w:rFonts w:ascii="仿宋" w:hAnsi="仿宋" w:eastAsia="仿宋" w:cs="仿宋"/>
          <w:sz w:val="32"/>
          <w:szCs w:val="32"/>
        </w:rPr>
      </w:pPr>
    </w:p>
    <w:p>
      <w:pPr>
        <w:spacing w:line="580" w:lineRule="exact"/>
        <w:ind w:firstLine="640" w:firstLineChars="200"/>
        <w:rPr>
          <w:rStyle w:val="24"/>
          <w:rFonts w:ascii="仿宋" w:hAnsi="仿宋" w:eastAsia="仿宋" w:cs="仿宋"/>
          <w:b w:val="0"/>
          <w:bCs w:val="0"/>
          <w:kern w:val="2"/>
          <w:sz w:val="32"/>
          <w:szCs w:val="32"/>
        </w:rPr>
      </w:pPr>
    </w:p>
    <w:p>
      <w:pPr>
        <w:spacing w:line="600" w:lineRule="exact"/>
        <w:jc w:val="center"/>
        <w:outlineLvl w:val="0"/>
        <w:rPr>
          <w:rStyle w:val="24"/>
          <w:rFonts w:ascii="仿宋" w:hAnsi="仿宋" w:eastAsia="仿宋" w:cs="仿宋"/>
          <w:b w:val="0"/>
          <w:sz w:val="32"/>
          <w:szCs w:val="32"/>
        </w:rPr>
      </w:pPr>
      <w:bookmarkStart w:id="57" w:name="_Toc15396618"/>
      <w:r>
        <w:rPr>
          <w:rFonts w:hint="eastAsia" w:ascii="仿宋" w:hAnsi="仿宋" w:eastAsia="仿宋" w:cs="仿宋"/>
          <w:color w:val="000000"/>
          <w:sz w:val="32"/>
          <w:szCs w:val="32"/>
        </w:rPr>
        <w:t>第</w:t>
      </w:r>
      <w:r>
        <w:rPr>
          <w:rStyle w:val="24"/>
          <w:rFonts w:hint="eastAsia" w:ascii="仿宋" w:hAnsi="仿宋" w:eastAsia="仿宋" w:cs="仿宋"/>
          <w:b w:val="0"/>
          <w:sz w:val="32"/>
          <w:szCs w:val="32"/>
        </w:rPr>
        <w:t>五部分 附表</w:t>
      </w:r>
      <w:bookmarkEnd w:id="54"/>
      <w:bookmarkEnd w:id="57"/>
    </w:p>
    <w:p>
      <w:pPr>
        <w:spacing w:line="600" w:lineRule="exact"/>
        <w:jc w:val="center"/>
        <w:outlineLvl w:val="0"/>
        <w:rPr>
          <w:rFonts w:ascii="仿宋" w:hAnsi="仿宋" w:eastAsia="仿宋" w:cs="仿宋"/>
          <w:b/>
          <w:color w:val="000000"/>
          <w:sz w:val="32"/>
          <w:szCs w:val="32"/>
        </w:rPr>
      </w:pPr>
    </w:p>
    <w:p>
      <w:pPr>
        <w:pStyle w:val="3"/>
        <w:rPr>
          <w:rFonts w:ascii="仿宋" w:hAnsi="仿宋" w:eastAsia="仿宋" w:cs="仿宋"/>
          <w:color w:val="000000"/>
        </w:rPr>
      </w:pPr>
      <w:bookmarkStart w:id="58" w:name="_Toc15396619"/>
      <w:r>
        <w:rPr>
          <w:rFonts w:hint="eastAsia" w:ascii="仿宋" w:hAnsi="仿宋" w:eastAsia="仿宋" w:cs="仿宋"/>
          <w:b w:val="0"/>
          <w:color w:val="000000"/>
        </w:rPr>
        <w:t>一、收</w:t>
      </w:r>
      <w:r>
        <w:rPr>
          <w:rStyle w:val="25"/>
          <w:rFonts w:hint="eastAsia" w:ascii="仿宋" w:hAnsi="仿宋" w:eastAsia="仿宋" w:cs="仿宋"/>
          <w:b w:val="0"/>
          <w:bCs w:val="0"/>
        </w:rPr>
        <w:t>入支出决算总表</w:t>
      </w:r>
      <w:bookmarkEnd w:id="58"/>
    </w:p>
    <w:p>
      <w:pPr>
        <w:pStyle w:val="3"/>
        <w:rPr>
          <w:rFonts w:ascii="仿宋" w:hAnsi="仿宋" w:eastAsia="仿宋" w:cs="仿宋"/>
          <w:color w:val="000000"/>
        </w:rPr>
      </w:pPr>
      <w:bookmarkStart w:id="59" w:name="_Toc15396620"/>
      <w:r>
        <w:rPr>
          <w:rFonts w:hint="eastAsia" w:ascii="仿宋" w:hAnsi="仿宋" w:eastAsia="仿宋" w:cs="仿宋"/>
          <w:b w:val="0"/>
          <w:color w:val="000000"/>
        </w:rPr>
        <w:t>二、收</w:t>
      </w:r>
      <w:r>
        <w:rPr>
          <w:rStyle w:val="25"/>
          <w:rFonts w:hint="eastAsia" w:ascii="仿宋" w:hAnsi="仿宋" w:eastAsia="仿宋" w:cs="仿宋"/>
          <w:b w:val="0"/>
          <w:bCs w:val="0"/>
        </w:rPr>
        <w:t>入总表</w:t>
      </w:r>
      <w:bookmarkEnd w:id="59"/>
    </w:p>
    <w:p>
      <w:pPr>
        <w:pStyle w:val="3"/>
        <w:rPr>
          <w:rFonts w:ascii="仿宋" w:hAnsi="仿宋" w:eastAsia="仿宋" w:cs="仿宋"/>
          <w:color w:val="000000"/>
        </w:rPr>
      </w:pPr>
      <w:bookmarkStart w:id="60" w:name="_Toc15396621"/>
      <w:r>
        <w:rPr>
          <w:rStyle w:val="25"/>
          <w:rFonts w:hint="eastAsia" w:ascii="仿宋" w:hAnsi="仿宋" w:eastAsia="仿宋" w:cs="仿宋"/>
          <w:b w:val="0"/>
          <w:bCs w:val="0"/>
        </w:rPr>
        <w:t>三、</w:t>
      </w:r>
      <w:r>
        <w:rPr>
          <w:rFonts w:hint="eastAsia" w:ascii="仿宋" w:hAnsi="仿宋" w:eastAsia="仿宋" w:cs="仿宋"/>
          <w:b w:val="0"/>
          <w:color w:val="000000"/>
        </w:rPr>
        <w:t>支</w:t>
      </w:r>
      <w:r>
        <w:rPr>
          <w:rStyle w:val="25"/>
          <w:rFonts w:hint="eastAsia" w:ascii="仿宋" w:hAnsi="仿宋" w:eastAsia="仿宋" w:cs="仿宋"/>
          <w:b w:val="0"/>
          <w:bCs w:val="0"/>
        </w:rPr>
        <w:t>出总表</w:t>
      </w:r>
      <w:bookmarkEnd w:id="60"/>
    </w:p>
    <w:p>
      <w:pPr>
        <w:pStyle w:val="3"/>
        <w:rPr>
          <w:rFonts w:ascii="仿宋" w:hAnsi="仿宋" w:eastAsia="仿宋" w:cs="仿宋"/>
          <w:b w:val="0"/>
          <w:color w:val="000000"/>
        </w:rPr>
      </w:pPr>
      <w:bookmarkStart w:id="61" w:name="_Toc15396622"/>
      <w:r>
        <w:rPr>
          <w:rStyle w:val="25"/>
          <w:rFonts w:hint="eastAsia" w:ascii="仿宋" w:hAnsi="仿宋" w:eastAsia="仿宋" w:cs="仿宋"/>
          <w:b w:val="0"/>
          <w:bCs w:val="0"/>
        </w:rPr>
        <w:t>四、</w:t>
      </w:r>
      <w:r>
        <w:rPr>
          <w:rFonts w:hint="eastAsia" w:ascii="仿宋" w:hAnsi="仿宋" w:eastAsia="仿宋" w:cs="仿宋"/>
          <w:b w:val="0"/>
          <w:color w:val="000000"/>
        </w:rPr>
        <w:t>财</w:t>
      </w:r>
      <w:r>
        <w:rPr>
          <w:rStyle w:val="25"/>
          <w:rFonts w:hint="eastAsia" w:ascii="仿宋" w:hAnsi="仿宋" w:eastAsia="仿宋" w:cs="仿宋"/>
          <w:b w:val="0"/>
          <w:bCs w:val="0"/>
        </w:rPr>
        <w:t>政拨款收入支出决算总表</w:t>
      </w:r>
      <w:bookmarkEnd w:id="61"/>
    </w:p>
    <w:p>
      <w:pPr>
        <w:pStyle w:val="3"/>
        <w:rPr>
          <w:rFonts w:ascii="仿宋" w:hAnsi="仿宋" w:eastAsia="仿宋" w:cs="仿宋"/>
          <w:color w:val="000000"/>
        </w:rPr>
      </w:pPr>
      <w:bookmarkStart w:id="62" w:name="_Toc15396623"/>
      <w:r>
        <w:rPr>
          <w:rStyle w:val="25"/>
          <w:rFonts w:hint="eastAsia" w:ascii="仿宋" w:hAnsi="仿宋" w:eastAsia="仿宋" w:cs="仿宋"/>
          <w:b w:val="0"/>
          <w:bCs w:val="0"/>
        </w:rPr>
        <w:t>五、</w:t>
      </w:r>
      <w:r>
        <w:rPr>
          <w:rFonts w:hint="eastAsia" w:ascii="仿宋" w:hAnsi="仿宋" w:eastAsia="仿宋" w:cs="仿宋"/>
          <w:b w:val="0"/>
          <w:color w:val="000000"/>
        </w:rPr>
        <w:t>财</w:t>
      </w:r>
      <w:r>
        <w:rPr>
          <w:rStyle w:val="25"/>
          <w:rFonts w:hint="eastAsia" w:ascii="仿宋" w:hAnsi="仿宋" w:eastAsia="仿宋" w:cs="仿宋"/>
          <w:b w:val="0"/>
          <w:bCs w:val="0"/>
        </w:rPr>
        <w:t>政拨款支出决算明细表（政府经济分类科目）</w:t>
      </w:r>
      <w:bookmarkEnd w:id="62"/>
    </w:p>
    <w:p>
      <w:pPr>
        <w:pStyle w:val="3"/>
        <w:rPr>
          <w:rFonts w:ascii="仿宋" w:hAnsi="仿宋" w:eastAsia="仿宋" w:cs="仿宋"/>
          <w:color w:val="000000"/>
        </w:rPr>
      </w:pPr>
      <w:bookmarkStart w:id="63" w:name="_Toc15396624"/>
      <w:r>
        <w:rPr>
          <w:rStyle w:val="25"/>
          <w:rFonts w:hint="eastAsia" w:ascii="仿宋" w:hAnsi="仿宋" w:eastAsia="仿宋" w:cs="仿宋"/>
          <w:b w:val="0"/>
          <w:bCs w:val="0"/>
        </w:rPr>
        <w:t>六、</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般公共预算财政拨款支出决算表</w:t>
      </w:r>
      <w:bookmarkEnd w:id="63"/>
    </w:p>
    <w:p>
      <w:pPr>
        <w:pStyle w:val="3"/>
        <w:rPr>
          <w:rFonts w:ascii="仿宋" w:hAnsi="仿宋" w:eastAsia="仿宋" w:cs="仿宋"/>
          <w:color w:val="000000"/>
        </w:rPr>
      </w:pPr>
      <w:bookmarkStart w:id="64" w:name="_Toc15396625"/>
      <w:r>
        <w:rPr>
          <w:rStyle w:val="25"/>
          <w:rFonts w:hint="eastAsia" w:ascii="仿宋" w:hAnsi="仿宋" w:eastAsia="仿宋" w:cs="仿宋"/>
          <w:b w:val="0"/>
          <w:bCs w:val="0"/>
        </w:rPr>
        <w:t>七、</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般公共预算财政拨款支出决算明细表</w:t>
      </w:r>
      <w:bookmarkEnd w:id="64"/>
    </w:p>
    <w:p>
      <w:pPr>
        <w:pStyle w:val="3"/>
        <w:rPr>
          <w:rFonts w:ascii="仿宋" w:hAnsi="仿宋" w:eastAsia="仿宋" w:cs="仿宋"/>
          <w:color w:val="000000"/>
        </w:rPr>
      </w:pPr>
      <w:bookmarkStart w:id="65" w:name="_Toc15396626"/>
      <w:r>
        <w:rPr>
          <w:rStyle w:val="25"/>
          <w:rFonts w:hint="eastAsia" w:ascii="仿宋" w:hAnsi="仿宋" w:eastAsia="仿宋" w:cs="仿宋"/>
          <w:b w:val="0"/>
          <w:bCs w:val="0"/>
        </w:rPr>
        <w:t>八、</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般公共预算财政拨款基本支出决算表</w:t>
      </w:r>
      <w:bookmarkEnd w:id="65"/>
    </w:p>
    <w:p>
      <w:pPr>
        <w:pStyle w:val="3"/>
        <w:rPr>
          <w:rFonts w:ascii="仿宋" w:hAnsi="仿宋" w:eastAsia="仿宋" w:cs="仿宋"/>
          <w:color w:val="000000"/>
        </w:rPr>
      </w:pPr>
      <w:bookmarkStart w:id="66" w:name="_Toc15396627"/>
      <w:r>
        <w:rPr>
          <w:rStyle w:val="25"/>
          <w:rFonts w:hint="eastAsia" w:ascii="仿宋" w:hAnsi="仿宋" w:eastAsia="仿宋" w:cs="仿宋"/>
          <w:b w:val="0"/>
          <w:bCs w:val="0"/>
        </w:rPr>
        <w:t>九、</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般公共预算财政拨款项目支出决算表</w:t>
      </w:r>
      <w:bookmarkEnd w:id="66"/>
    </w:p>
    <w:p>
      <w:pPr>
        <w:pStyle w:val="3"/>
        <w:rPr>
          <w:rFonts w:ascii="仿宋" w:hAnsi="仿宋" w:eastAsia="仿宋" w:cs="仿宋"/>
          <w:color w:val="000000"/>
        </w:rPr>
      </w:pPr>
      <w:bookmarkStart w:id="67" w:name="_Toc15396628"/>
      <w:r>
        <w:rPr>
          <w:rStyle w:val="25"/>
          <w:rFonts w:hint="eastAsia" w:ascii="仿宋" w:hAnsi="仿宋" w:eastAsia="仿宋" w:cs="仿宋"/>
          <w:b w:val="0"/>
          <w:bCs w:val="0"/>
        </w:rPr>
        <w:t>十、</w:t>
      </w:r>
      <w:r>
        <w:rPr>
          <w:rFonts w:hint="eastAsia" w:ascii="仿宋" w:hAnsi="仿宋" w:eastAsia="仿宋" w:cs="仿宋"/>
          <w:b w:val="0"/>
          <w:color w:val="000000"/>
        </w:rPr>
        <w:t>一</w:t>
      </w:r>
      <w:r>
        <w:rPr>
          <w:rStyle w:val="25"/>
          <w:rFonts w:hint="eastAsia" w:ascii="仿宋" w:hAnsi="仿宋" w:eastAsia="仿宋" w:cs="仿宋"/>
          <w:b w:val="0"/>
          <w:bCs w:val="0"/>
        </w:rPr>
        <w:t>般公共预算财政拨款“三公”经费支出决算表</w:t>
      </w:r>
      <w:bookmarkEnd w:id="67"/>
    </w:p>
    <w:p>
      <w:pPr>
        <w:pStyle w:val="3"/>
        <w:rPr>
          <w:rFonts w:ascii="仿宋" w:hAnsi="仿宋" w:eastAsia="仿宋" w:cs="仿宋"/>
          <w:color w:val="000000"/>
        </w:rPr>
      </w:pPr>
      <w:bookmarkStart w:id="68" w:name="_Toc15396629"/>
      <w:r>
        <w:rPr>
          <w:rStyle w:val="25"/>
          <w:rFonts w:hint="eastAsia" w:ascii="仿宋" w:hAnsi="仿宋" w:eastAsia="仿宋" w:cs="仿宋"/>
          <w:b w:val="0"/>
          <w:bCs w:val="0"/>
        </w:rPr>
        <w:t>十一、</w:t>
      </w:r>
      <w:r>
        <w:rPr>
          <w:rFonts w:hint="eastAsia" w:ascii="仿宋" w:hAnsi="仿宋" w:eastAsia="仿宋" w:cs="仿宋"/>
          <w:b w:val="0"/>
          <w:color w:val="000000"/>
        </w:rPr>
        <w:t>政</w:t>
      </w:r>
      <w:r>
        <w:rPr>
          <w:rStyle w:val="25"/>
          <w:rFonts w:hint="eastAsia" w:ascii="仿宋" w:hAnsi="仿宋" w:eastAsia="仿宋" w:cs="仿宋"/>
          <w:b w:val="0"/>
          <w:bCs w:val="0"/>
        </w:rPr>
        <w:t>府性基金预算财政拨款收入支出决算表</w:t>
      </w:r>
      <w:bookmarkEnd w:id="68"/>
    </w:p>
    <w:p>
      <w:pPr>
        <w:pStyle w:val="3"/>
        <w:rPr>
          <w:rFonts w:ascii="仿宋" w:hAnsi="仿宋" w:eastAsia="仿宋" w:cs="仿宋"/>
          <w:color w:val="000000"/>
        </w:rPr>
      </w:pPr>
      <w:bookmarkStart w:id="69" w:name="_Toc15396630"/>
      <w:r>
        <w:rPr>
          <w:rStyle w:val="25"/>
          <w:rFonts w:hint="eastAsia" w:ascii="仿宋" w:hAnsi="仿宋" w:eastAsia="仿宋" w:cs="仿宋"/>
          <w:b w:val="0"/>
          <w:bCs w:val="0"/>
        </w:rPr>
        <w:t>十二、</w:t>
      </w:r>
      <w:r>
        <w:rPr>
          <w:rFonts w:hint="eastAsia" w:ascii="仿宋" w:hAnsi="仿宋" w:eastAsia="仿宋" w:cs="仿宋"/>
          <w:b w:val="0"/>
          <w:color w:val="000000"/>
        </w:rPr>
        <w:t>政</w:t>
      </w:r>
      <w:r>
        <w:rPr>
          <w:rStyle w:val="25"/>
          <w:rFonts w:hint="eastAsia" w:ascii="仿宋" w:hAnsi="仿宋" w:eastAsia="仿宋" w:cs="仿宋"/>
          <w:b w:val="0"/>
          <w:bCs w:val="0"/>
        </w:rPr>
        <w:t>府性基金预算财政拨款“三公”经费支出决算表</w:t>
      </w:r>
      <w:bookmarkEnd w:id="69"/>
    </w:p>
    <w:p>
      <w:pPr>
        <w:pStyle w:val="3"/>
        <w:rPr>
          <w:rFonts w:ascii="仿宋" w:hAnsi="仿宋" w:eastAsia="仿宋" w:cs="仿宋"/>
          <w:color w:val="000000" w:themeColor="text1"/>
          <w14:textFill>
            <w14:solidFill>
              <w14:schemeClr w14:val="tx1"/>
            </w14:solidFill>
          </w14:textFill>
        </w:rPr>
      </w:pPr>
      <w:bookmarkStart w:id="70" w:name="_Toc15396631"/>
      <w:r>
        <w:rPr>
          <w:rStyle w:val="25"/>
          <w:rFonts w:hint="eastAsia" w:ascii="仿宋" w:hAnsi="仿宋" w:eastAsia="仿宋" w:cs="仿宋"/>
          <w:b w:val="0"/>
          <w:bCs w:val="0"/>
        </w:rPr>
        <w:t>十三、</w:t>
      </w:r>
      <w:r>
        <w:rPr>
          <w:rFonts w:hint="eastAsia" w:ascii="仿宋" w:hAnsi="仿宋" w:eastAsia="仿宋" w:cs="仿宋"/>
          <w:b w:val="0"/>
          <w:color w:val="000000"/>
        </w:rPr>
        <w:t>国</w:t>
      </w:r>
      <w:r>
        <w:rPr>
          <w:rStyle w:val="25"/>
          <w:rFonts w:hint="eastAsia" w:ascii="仿宋" w:hAnsi="仿宋" w:eastAsia="仿宋" w:cs="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0742921"/>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93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YWI3M2JkYzA4Zjk1ZjljOWQ3Y2JiOGIxNGJhMDcifQ=="/>
  </w:docVars>
  <w:rsids>
    <w:rsidRoot w:val="00F1361C"/>
    <w:rsid w:val="000222C6"/>
    <w:rsid w:val="0002549F"/>
    <w:rsid w:val="0006487A"/>
    <w:rsid w:val="00065F8F"/>
    <w:rsid w:val="000768F2"/>
    <w:rsid w:val="00085205"/>
    <w:rsid w:val="0009184B"/>
    <w:rsid w:val="0009593C"/>
    <w:rsid w:val="000B047F"/>
    <w:rsid w:val="000B5923"/>
    <w:rsid w:val="000B5A48"/>
    <w:rsid w:val="000B6FF3"/>
    <w:rsid w:val="000C0C4B"/>
    <w:rsid w:val="000C3467"/>
    <w:rsid w:val="000C3CA6"/>
    <w:rsid w:val="000D1267"/>
    <w:rsid w:val="000D1D50"/>
    <w:rsid w:val="000D5782"/>
    <w:rsid w:val="000E6613"/>
    <w:rsid w:val="000E7119"/>
    <w:rsid w:val="000E791A"/>
    <w:rsid w:val="00114E9B"/>
    <w:rsid w:val="0014729F"/>
    <w:rsid w:val="00157BAB"/>
    <w:rsid w:val="001654D1"/>
    <w:rsid w:val="00165BC6"/>
    <w:rsid w:val="001700C0"/>
    <w:rsid w:val="0018106D"/>
    <w:rsid w:val="001877A7"/>
    <w:rsid w:val="00191536"/>
    <w:rsid w:val="00196687"/>
    <w:rsid w:val="001C0962"/>
    <w:rsid w:val="001D7531"/>
    <w:rsid w:val="001E737D"/>
    <w:rsid w:val="001F0592"/>
    <w:rsid w:val="001F7506"/>
    <w:rsid w:val="001F7FD8"/>
    <w:rsid w:val="002006CD"/>
    <w:rsid w:val="00201CB8"/>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3F0576"/>
    <w:rsid w:val="00406254"/>
    <w:rsid w:val="004223DE"/>
    <w:rsid w:val="00434489"/>
    <w:rsid w:val="00437085"/>
    <w:rsid w:val="00443880"/>
    <w:rsid w:val="004464F4"/>
    <w:rsid w:val="00456D73"/>
    <w:rsid w:val="00460D5E"/>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C7A"/>
    <w:rsid w:val="005664BB"/>
    <w:rsid w:val="0057481D"/>
    <w:rsid w:val="0058486E"/>
    <w:rsid w:val="005D1C8B"/>
    <w:rsid w:val="005D5CED"/>
    <w:rsid w:val="005E4F75"/>
    <w:rsid w:val="005F1A4C"/>
    <w:rsid w:val="00605688"/>
    <w:rsid w:val="006070AF"/>
    <w:rsid w:val="00607E6C"/>
    <w:rsid w:val="006101B1"/>
    <w:rsid w:val="00614E44"/>
    <w:rsid w:val="00622830"/>
    <w:rsid w:val="00630AEF"/>
    <w:rsid w:val="006325F8"/>
    <w:rsid w:val="00634C9A"/>
    <w:rsid w:val="006440E4"/>
    <w:rsid w:val="00644FE6"/>
    <w:rsid w:val="006629CE"/>
    <w:rsid w:val="0066343B"/>
    <w:rsid w:val="00664777"/>
    <w:rsid w:val="006748A4"/>
    <w:rsid w:val="00683E73"/>
    <w:rsid w:val="006945E6"/>
    <w:rsid w:val="006A3141"/>
    <w:rsid w:val="006A5E34"/>
    <w:rsid w:val="006B2422"/>
    <w:rsid w:val="006B2B9A"/>
    <w:rsid w:val="006C1937"/>
    <w:rsid w:val="006D5030"/>
    <w:rsid w:val="006F020C"/>
    <w:rsid w:val="007127B7"/>
    <w:rsid w:val="007416B6"/>
    <w:rsid w:val="00746F48"/>
    <w:rsid w:val="0075404D"/>
    <w:rsid w:val="0076182A"/>
    <w:rsid w:val="00767B7E"/>
    <w:rsid w:val="007700A2"/>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95C"/>
    <w:rsid w:val="00871F71"/>
    <w:rsid w:val="00885AF4"/>
    <w:rsid w:val="008939CD"/>
    <w:rsid w:val="008B768C"/>
    <w:rsid w:val="008C4DB1"/>
    <w:rsid w:val="008C4EAF"/>
    <w:rsid w:val="008C5176"/>
    <w:rsid w:val="008C7FD0"/>
    <w:rsid w:val="008D1C71"/>
    <w:rsid w:val="008E1DE7"/>
    <w:rsid w:val="008E707C"/>
    <w:rsid w:val="008F75BA"/>
    <w:rsid w:val="00900B08"/>
    <w:rsid w:val="00901A1E"/>
    <w:rsid w:val="00902155"/>
    <w:rsid w:val="00902FA3"/>
    <w:rsid w:val="00923564"/>
    <w:rsid w:val="0092392E"/>
    <w:rsid w:val="00924FD8"/>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55D2"/>
    <w:rsid w:val="00A67AB5"/>
    <w:rsid w:val="00A67D47"/>
    <w:rsid w:val="00A91760"/>
    <w:rsid w:val="00A93B00"/>
    <w:rsid w:val="00A93C21"/>
    <w:rsid w:val="00AC3C6A"/>
    <w:rsid w:val="00AD4AF7"/>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01CF"/>
    <w:rsid w:val="00C33E72"/>
    <w:rsid w:val="00C354B2"/>
    <w:rsid w:val="00C35554"/>
    <w:rsid w:val="00C42709"/>
    <w:rsid w:val="00C533CC"/>
    <w:rsid w:val="00C5751C"/>
    <w:rsid w:val="00C61BFC"/>
    <w:rsid w:val="00C62B85"/>
    <w:rsid w:val="00C65438"/>
    <w:rsid w:val="00C707EE"/>
    <w:rsid w:val="00C91CBB"/>
    <w:rsid w:val="00CC09B6"/>
    <w:rsid w:val="00CC666F"/>
    <w:rsid w:val="00CD1E3F"/>
    <w:rsid w:val="00CE44F6"/>
    <w:rsid w:val="00CE49DA"/>
    <w:rsid w:val="00CE7B61"/>
    <w:rsid w:val="00D00095"/>
    <w:rsid w:val="00D01A5C"/>
    <w:rsid w:val="00D20620"/>
    <w:rsid w:val="00D26091"/>
    <w:rsid w:val="00D34E7C"/>
    <w:rsid w:val="00D35489"/>
    <w:rsid w:val="00D51276"/>
    <w:rsid w:val="00D7035F"/>
    <w:rsid w:val="00DA65AC"/>
    <w:rsid w:val="00DA6DFE"/>
    <w:rsid w:val="00DB1913"/>
    <w:rsid w:val="00DC410D"/>
    <w:rsid w:val="00DC68CA"/>
    <w:rsid w:val="00DC7CBA"/>
    <w:rsid w:val="00DD73B7"/>
    <w:rsid w:val="00DF28BC"/>
    <w:rsid w:val="00DF34B9"/>
    <w:rsid w:val="00E01053"/>
    <w:rsid w:val="00E07ACF"/>
    <w:rsid w:val="00E331A1"/>
    <w:rsid w:val="00E33202"/>
    <w:rsid w:val="00E336A9"/>
    <w:rsid w:val="00E50512"/>
    <w:rsid w:val="00E50624"/>
    <w:rsid w:val="00E568DF"/>
    <w:rsid w:val="00E626AE"/>
    <w:rsid w:val="00E64269"/>
    <w:rsid w:val="00E82267"/>
    <w:rsid w:val="00EA010F"/>
    <w:rsid w:val="00ED1B63"/>
    <w:rsid w:val="00ED3C1F"/>
    <w:rsid w:val="00ED4085"/>
    <w:rsid w:val="00ED420E"/>
    <w:rsid w:val="00EE2F57"/>
    <w:rsid w:val="00EF4C34"/>
    <w:rsid w:val="00EF77C6"/>
    <w:rsid w:val="00F05438"/>
    <w:rsid w:val="00F1361C"/>
    <w:rsid w:val="00F160C7"/>
    <w:rsid w:val="00F35771"/>
    <w:rsid w:val="00F36D8F"/>
    <w:rsid w:val="00F417B1"/>
    <w:rsid w:val="00F43262"/>
    <w:rsid w:val="00F602DF"/>
    <w:rsid w:val="00F81FD9"/>
    <w:rsid w:val="00F841AA"/>
    <w:rsid w:val="00FA23E8"/>
    <w:rsid w:val="00FC08A6"/>
    <w:rsid w:val="00FD3CC1"/>
    <w:rsid w:val="00FF1E02"/>
    <w:rsid w:val="00FF30B4"/>
    <w:rsid w:val="028443D9"/>
    <w:rsid w:val="08D94147"/>
    <w:rsid w:val="10C055FF"/>
    <w:rsid w:val="154F4EE9"/>
    <w:rsid w:val="16BB723D"/>
    <w:rsid w:val="16DE5A81"/>
    <w:rsid w:val="206A6E55"/>
    <w:rsid w:val="22E140FA"/>
    <w:rsid w:val="240371BF"/>
    <w:rsid w:val="26B77196"/>
    <w:rsid w:val="29FD04D3"/>
    <w:rsid w:val="2DA474FC"/>
    <w:rsid w:val="319F7F4E"/>
    <w:rsid w:val="36D14017"/>
    <w:rsid w:val="39F80189"/>
    <w:rsid w:val="3A4A5BA5"/>
    <w:rsid w:val="3AF85B28"/>
    <w:rsid w:val="3BD37BF8"/>
    <w:rsid w:val="40C22A3B"/>
    <w:rsid w:val="458038C7"/>
    <w:rsid w:val="49D33965"/>
    <w:rsid w:val="53C7059E"/>
    <w:rsid w:val="6DBD737F"/>
    <w:rsid w:val="706F09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列表段落1"/>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9.xlsx"/></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4578226387888"/>
          <c:y val="0.0275862068965517"/>
        </c:manualLayout>
      </c:layout>
      <c:overlay val="0"/>
      <c:spPr>
        <a:noFill/>
        <a:ln>
          <a:noFill/>
        </a:ln>
        <a:effectLst/>
      </c:spPr>
      <c:tx>
        <c:rich>
          <a:bodyPr/>
          <a:lstStyle/>
          <a:p>
            <a:pPr>
              <a:defRPr/>
            </a:pPr>
          </a:p>
        </c:rich>
      </c:tx>
    </c:title>
    <c:autoTitleDeleted val="0"/>
    <c:plotArea>
      <c:layout>
        <c:manualLayout>
          <c:layoutTarget val="inner"/>
          <c:xMode val="edge"/>
          <c:yMode val="edge"/>
          <c:x val="0.0861715933669791"/>
          <c:y val="0.169195402298851"/>
          <c:w val="0.897245854361932"/>
          <c:h val="0.726528735632184"/>
        </c:manualLayout>
      </c:layout>
      <c:barChart>
        <c:barDir val="col"/>
        <c:grouping val="clustered"/>
        <c:varyColors val="0"/>
        <c:ser>
          <c:idx val="0"/>
          <c:order val="0"/>
          <c:tx>
            <c:strRef>
              <c:f>Sheet1!$B$1</c:f>
              <c:strCache>
                <c:ptCount val="1"/>
                <c:pt idx="0">
                  <c:v>收入</c:v>
                </c:pt>
              </c:strCache>
            </c:strRef>
          </c:tx>
          <c:spPr>
            <a:solidFill>
              <a:schemeClr val="accent2"/>
            </a:solidFill>
            <a:ln>
              <a:noFill/>
            </a:ln>
            <a:effectLst/>
          </c:spPr>
          <c:invertIfNegative val="0"/>
          <c:dLbls>
            <c:delete val="1"/>
          </c:dLbls>
          <c:cat>
            <c:strRef>
              <c:f>Sheet1!$A$2:$A$5</c:f>
              <c:strCache>
                <c:ptCount val="4"/>
                <c:pt idx="0">
                  <c:v>2020年收入</c:v>
                </c:pt>
                <c:pt idx="1">
                  <c:v>2021年收入</c:v>
                </c:pt>
              </c:strCache>
            </c:strRef>
          </c:cat>
          <c:val>
            <c:numRef>
              <c:f>Sheet1!$B$2:$B$5</c:f>
              <c:numCache>
                <c:formatCode>General</c:formatCode>
                <c:ptCount val="4"/>
                <c:pt idx="0">
                  <c:v>2269.5</c:v>
                </c:pt>
                <c:pt idx="1">
                  <c:v>2435.17</c:v>
                </c:pt>
              </c:numCache>
            </c:numRef>
          </c:val>
        </c:ser>
        <c:dLbls>
          <c:showLegendKey val="0"/>
          <c:showVal val="0"/>
          <c:showCatName val="0"/>
          <c:showSerName val="0"/>
          <c:showPercent val="0"/>
          <c:showBubbleSize val="0"/>
        </c:dLbls>
        <c:gapWidth val="219"/>
        <c:overlap val="-27"/>
        <c:axId val="741274048"/>
        <c:axId val="7412720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
                      </c:pt>
                    </c:strCache>
                  </c:strRef>
                </c:tx>
                <c:spPr>
                  <a:solidFill>
                    <a:schemeClr val="accent4"/>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2020年收入</c:v>
                      </c:pt>
                      <c:pt idx="1">
                        <c:v>2021年收入</c:v>
                      </c:pt>
                    </c:strCache>
                  </c:strRef>
                </c:cat>
                <c:val>
                  <c:numRef>
                    <c:extLst>
                      <c:ext uri="{02D57815-91ED-43cb-92C2-25804820EDAC}">
                        <c15:formulaRef>
                          <c15:sqref>Sheet1!$C$2:$C$5</c15:sqref>
                        </c15:formulaRef>
                      </c:ext>
                    </c:extLst>
                    <c:numCache>
                      <c:formatCode>General</c:formatCode>
                      <c:ptCount val="4"/>
                    </c:numCache>
                  </c:numRef>
                </c:val>
              </c15:ser>
            </c15:filteredBarSeries>
          </c:ext>
        </c:extLst>
      </c:barChart>
      <c:catAx>
        <c:axId val="7412740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72088"/>
        <c:crosses val="autoZero"/>
        <c:auto val="1"/>
        <c:lblAlgn val="ctr"/>
        <c:lblOffset val="100"/>
        <c:noMultiLvlLbl val="0"/>
      </c:catAx>
      <c:valAx>
        <c:axId val="741272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7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支出情况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Sheet1!$A$2:$A$5</c:f>
              <c:strCache>
                <c:ptCount val="4"/>
                <c:pt idx="0">
                  <c:v>2021年</c:v>
                </c:pt>
                <c:pt idx="1">
                  <c:v>2020年</c:v>
                </c:pt>
              </c:strCache>
            </c:strRef>
          </c:cat>
          <c:val>
            <c:numRef>
              <c:f>Sheet1!$B$2:$B$5</c:f>
              <c:numCache>
                <c:formatCode>General</c:formatCode>
                <c:ptCount val="4"/>
                <c:pt idx="0">
                  <c:v>1987.17</c:v>
                </c:pt>
                <c:pt idx="1">
                  <c:v>1585.1</c:v>
                </c:pt>
              </c:numCache>
            </c:numRef>
          </c:val>
        </c:ser>
        <c:ser>
          <c:idx val="1"/>
          <c:order val="1"/>
          <c:tx>
            <c:strRef>
              <c:f>Sheet1!$C$1</c:f>
              <c:strCache>
                <c:ptCount val="1"/>
                <c:pt idx="0">
                  <c:v>项目支出</c:v>
                </c:pt>
              </c:strCache>
            </c:strRef>
          </c:tx>
          <c:spPr>
            <a:solidFill>
              <a:schemeClr val="accent2"/>
            </a:solidFill>
            <a:ln>
              <a:noFill/>
            </a:ln>
            <a:effectLst/>
          </c:spPr>
          <c:invertIfNegative val="0"/>
          <c:dLbls>
            <c:delete val="1"/>
          </c:dLbls>
          <c:cat>
            <c:strRef>
              <c:f>Sheet1!$A$2:$A$5</c:f>
              <c:strCache>
                <c:ptCount val="4"/>
                <c:pt idx="0">
                  <c:v>2021年</c:v>
                </c:pt>
                <c:pt idx="1">
                  <c:v>2020年</c:v>
                </c:pt>
              </c:strCache>
            </c:strRef>
          </c:cat>
          <c:val>
            <c:numRef>
              <c:f>Sheet1!$C$2:$C$5</c:f>
              <c:numCache>
                <c:formatCode>General</c:formatCode>
                <c:ptCount val="4"/>
                <c:pt idx="0">
                  <c:v>762.4</c:v>
                </c:pt>
                <c:pt idx="1">
                  <c:v>788.6</c:v>
                </c:pt>
              </c:numCache>
            </c:numRef>
          </c:val>
        </c:ser>
        <c:dLbls>
          <c:showLegendKey val="0"/>
          <c:showVal val="0"/>
          <c:showCatName val="0"/>
          <c:showSerName val="0"/>
          <c:showPercent val="0"/>
          <c:showBubbleSize val="0"/>
        </c:dLbls>
        <c:gapWidth val="219"/>
        <c:overlap val="-27"/>
        <c:axId val="741268560"/>
        <c:axId val="741273264"/>
      </c:barChart>
      <c:catAx>
        <c:axId val="7412685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73264"/>
        <c:crosses val="autoZero"/>
        <c:auto val="1"/>
        <c:lblAlgn val="ctr"/>
        <c:lblOffset val="100"/>
        <c:noMultiLvlLbl val="0"/>
      </c:catAx>
      <c:valAx>
        <c:axId val="74127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68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一般公共财政拨款收入</c:v>
                </c:pt>
                <c:pt idx="1">
                  <c:v>其他收入</c:v>
                </c:pt>
              </c:strCache>
            </c:strRef>
          </c:cat>
          <c:val>
            <c:numRef>
              <c:f>Sheet1!$B$2:$B$5</c:f>
              <c:numCache>
                <c:formatCode>General</c:formatCode>
                <c:ptCount val="4"/>
                <c:pt idx="0">
                  <c:v>2269.5</c:v>
                </c:pt>
                <c:pt idx="1">
                  <c:v>95.07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1987.17</c:v>
                </c:pt>
                <c:pt idx="1">
                  <c:v>762.4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收支情况表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2020年收支</c:v>
                </c:pt>
              </c:strCache>
            </c:strRef>
          </c:tx>
          <c:spPr>
            <a:solidFill>
              <a:schemeClr val="accent1"/>
            </a:solidFill>
            <a:ln>
              <a:noFill/>
            </a:ln>
            <a:effectLst/>
          </c:spPr>
          <c:invertIfNegative val="0"/>
          <c:dLbls>
            <c:delete val="1"/>
          </c:dLbls>
          <c:cat>
            <c:strRef>
              <c:f>Sheet1!$A$2:$A$5</c:f>
              <c:strCache>
                <c:ptCount val="4"/>
                <c:pt idx="0">
                  <c:v>收支状况</c:v>
                </c:pt>
              </c:strCache>
            </c:strRef>
          </c:cat>
          <c:val>
            <c:numRef>
              <c:f>Sheet1!$B$2:$B$5</c:f>
              <c:numCache>
                <c:formatCode>General</c:formatCode>
                <c:ptCount val="4"/>
                <c:pt idx="0">
                  <c:v>4643.3</c:v>
                </c:pt>
              </c:numCache>
            </c:numRef>
          </c:val>
        </c:ser>
        <c:ser>
          <c:idx val="1"/>
          <c:order val="1"/>
          <c:tx>
            <c:strRef>
              <c:f>Sheet1!$C$1</c:f>
              <c:strCache>
                <c:ptCount val="1"/>
                <c:pt idx="0">
                  <c:v>2021年收支</c:v>
                </c:pt>
              </c:strCache>
            </c:strRef>
          </c:tx>
          <c:spPr>
            <a:solidFill>
              <a:schemeClr val="accent2"/>
            </a:solidFill>
            <a:ln>
              <a:noFill/>
            </a:ln>
            <a:effectLst/>
          </c:spPr>
          <c:invertIfNegative val="0"/>
          <c:dLbls>
            <c:delete val="1"/>
          </c:dLbls>
          <c:cat>
            <c:strRef>
              <c:f>Sheet1!$A$2:$A$5</c:f>
              <c:strCache>
                <c:ptCount val="4"/>
                <c:pt idx="0">
                  <c:v>收支状况</c:v>
                </c:pt>
              </c:strCache>
            </c:strRef>
          </c:cat>
          <c:val>
            <c:numRef>
              <c:f>Sheet1!$C$2:$C$5</c:f>
              <c:numCache>
                <c:formatCode>General</c:formatCode>
                <c:ptCount val="4"/>
                <c:pt idx="0">
                  <c:v>5184.73</c:v>
                </c:pt>
              </c:numCache>
            </c:numRef>
          </c:val>
        </c:ser>
        <c:dLbls>
          <c:showLegendKey val="0"/>
          <c:showVal val="0"/>
          <c:showCatName val="0"/>
          <c:showSerName val="0"/>
          <c:showPercent val="0"/>
          <c:showBubbleSize val="0"/>
        </c:dLbls>
        <c:gapWidth val="219"/>
        <c:overlap val="-27"/>
        <c:axId val="741275616"/>
        <c:axId val="74127012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Sheet1!$A$2:$A$5</c15:sqref>
                        </c15:formulaRef>
                      </c:ext>
                    </c:extLst>
                    <c:strCache>
                      <c:ptCount val="4"/>
                      <c:pt idx="0">
                        <c:v>收支状况</c:v>
                      </c:pt>
                    </c:strCache>
                  </c:strRef>
                </c:cat>
                <c:val>
                  <c:numRef>
                    <c:extLst>
                      <c:ext uri="{02D57815-91ED-43cb-92C2-25804820EDAC}">
                        <c15:formulaRef>
                          <c15:sqref>Sheet1!$D$2:$D$5</c15:sqref>
                        </c15:formulaRef>
                      </c:ext>
                    </c:extLst>
                    <c:numCache>
                      <c:formatCode>General</c:formatCode>
                      <c:ptCount val="4"/>
                    </c:numCache>
                  </c:numRef>
                </c:val>
              </c15:ser>
            </c15:filteredBarSeries>
          </c:ext>
        </c:extLst>
      </c:barChart>
      <c:catAx>
        <c:axId val="74127561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70128"/>
        <c:crosses val="autoZero"/>
        <c:auto val="1"/>
        <c:lblAlgn val="ctr"/>
        <c:lblOffset val="100"/>
        <c:noMultiLvlLbl val="0"/>
      </c:catAx>
      <c:valAx>
        <c:axId val="74127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75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一般公共财政拨款支出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Sheet1!$A$2:$A$5</c:f>
              <c:strCache>
                <c:ptCount val="4"/>
                <c:pt idx="0">
                  <c:v>一般公共财政拨款支出</c:v>
                </c:pt>
              </c:strCache>
            </c:strRef>
          </c:cat>
          <c:val>
            <c:numRef>
              <c:f>Sheet1!$B$2:$B$5</c:f>
              <c:numCache>
                <c:formatCode>General</c:formatCode>
                <c:ptCount val="4"/>
                <c:pt idx="0">
                  <c:v>2373.8</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Sheet1!$A$2:$A$5</c:f>
              <c:strCache>
                <c:ptCount val="4"/>
                <c:pt idx="0">
                  <c:v>一般公共财政拨款支出</c:v>
                </c:pt>
              </c:strCache>
            </c:strRef>
          </c:cat>
          <c:val>
            <c:numRef>
              <c:f>Sheet1!$C$2:$C$5</c:f>
              <c:numCache>
                <c:formatCode>General</c:formatCode>
                <c:ptCount val="4"/>
                <c:pt idx="0">
                  <c:v>2644.64</c:v>
                </c:pt>
              </c:numCache>
            </c:numRef>
          </c:val>
        </c:ser>
        <c:dLbls>
          <c:showLegendKey val="0"/>
          <c:showVal val="0"/>
          <c:showCatName val="0"/>
          <c:showSerName val="0"/>
          <c:showPercent val="0"/>
          <c:showBubbleSize val="0"/>
        </c:dLbls>
        <c:gapWidth val="219"/>
        <c:overlap val="-27"/>
        <c:axId val="741269344"/>
        <c:axId val="741269736"/>
      </c:barChart>
      <c:catAx>
        <c:axId val="74126934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69736"/>
        <c:crosses val="autoZero"/>
        <c:auto val="1"/>
        <c:lblAlgn val="ctr"/>
        <c:lblOffset val="100"/>
        <c:noMultiLvlLbl val="0"/>
      </c:catAx>
      <c:valAx>
        <c:axId val="741269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269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一般公共财政拨款支出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一般公共服务支出</c:v>
                </c:pt>
                <c:pt idx="1">
                  <c:v>农林水支出</c:v>
                </c:pt>
              </c:strCache>
            </c:strRef>
          </c:cat>
          <c:val>
            <c:numRef>
              <c:f>Sheet1!$B$2:$B$5</c:f>
              <c:numCache>
                <c:formatCode>General</c:formatCode>
                <c:ptCount val="4"/>
                <c:pt idx="0">
                  <c:v>1987.17</c:v>
                </c:pt>
                <c:pt idx="1">
                  <c:v>657.45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一般公共服务类支出</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社会保障支出</c:v>
                </c:pt>
                <c:pt idx="1">
                  <c:v>医疗卫生支出</c:v>
                </c:pt>
                <c:pt idx="2">
                  <c:v>住房保障支出</c:v>
                </c:pt>
                <c:pt idx="3">
                  <c:v>事业机构支出</c:v>
                </c:pt>
              </c:strCache>
            </c:strRef>
          </c:cat>
          <c:val>
            <c:numRef>
              <c:f>Sheet1!$B$2:$B$5</c:f>
              <c:numCache>
                <c:formatCode>General</c:formatCode>
                <c:ptCount val="4"/>
                <c:pt idx="0">
                  <c:v>424.33</c:v>
                </c:pt>
                <c:pt idx="1">
                  <c:v>134.97</c:v>
                </c:pt>
                <c:pt idx="2">
                  <c:v>127.13</c:v>
                </c:pt>
                <c:pt idx="3">
                  <c:v>1300.73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公务用车</c:v>
                </c:pt>
                <c:pt idx="1">
                  <c:v>公务接待</c:v>
                </c:pt>
              </c:strCache>
            </c:strRef>
          </c:cat>
          <c:val>
            <c:numRef>
              <c:f>Sheet1!$B$2:$B$5</c:f>
              <c:numCache>
                <c:formatCode>0.00%</c:formatCode>
                <c:ptCount val="4"/>
                <c:pt idx="0">
                  <c:v>0.936</c:v>
                </c:pt>
                <c:pt idx="1">
                  <c:v>0.064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47B-2F90-4A67-BC50-852EF72193EE}">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33</Pages>
  <Words>9713</Words>
  <Characters>10725</Characters>
  <Lines>89</Lines>
  <Paragraphs>25</Paragraphs>
  <TotalTime>8</TotalTime>
  <ScaleCrop>false</ScaleCrop>
  <LinksUpToDate>false</LinksUpToDate>
  <CharactersWithSpaces>10802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2022-09-09T08:19:00Z</dcterms:created>
  <dc:creator>张彬茜</dc:creator>
  <cp:lastModifiedBy>LKY</cp:lastModifiedBy>
  <cp:lastPrinted>2021-11-16T01:57:00Z</cp:lastPrinted>
  <dcterms:modified xsi:type="dcterms:W3CDTF">2022-09-09T08:32:54Z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130F4F9044E643949BBEC0E590059454</vt:lpwstr>
  </property>
</Properties>
</file>