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lang w:val="en-US" w:eastAsia="zh-CN"/>
        </w:rPr>
      </w:pPr>
      <w:bookmarkStart w:id="6" w:name="_Toc15377426"/>
      <w:bookmarkStart w:id="7" w:name="_Toc15396598"/>
      <w:bookmarkStart w:id="8" w:name="_Toc15378442"/>
      <w:bookmarkStart w:id="9" w:name="_Toc15377194"/>
      <w:bookmarkStart w:id="10" w:name="_Toc15396476"/>
      <w:r>
        <w:rPr>
          <w:rFonts w:hint="eastAsia" w:ascii="方正小标宋简体" w:hAnsi="方正小标宋简体" w:eastAsia="方正小标宋简体" w:cs="方正小标宋简体"/>
          <w:color w:val="auto"/>
          <w:sz w:val="52"/>
          <w:szCs w:val="52"/>
          <w:highlight w:val="none"/>
          <w:lang w:val="en-US" w:eastAsia="zh-CN"/>
        </w:rPr>
        <w:t>凉山州</w:t>
      </w:r>
      <w:bookmarkEnd w:id="0"/>
      <w:bookmarkStart w:id="11" w:name="_Toc15306268"/>
      <w:r>
        <w:rPr>
          <w:rFonts w:hint="eastAsia" w:ascii="方正小标宋简体" w:hAnsi="方正小标宋简体" w:eastAsia="方正小标宋简体" w:cs="方正小标宋简体"/>
          <w:color w:val="auto"/>
          <w:sz w:val="52"/>
          <w:szCs w:val="52"/>
          <w:highlight w:val="none"/>
          <w:lang w:val="en-US" w:eastAsia="zh-CN"/>
        </w:rPr>
        <w:t>林业调查规划设计院</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lang w:eastAsia="zh-CN"/>
        </w:rPr>
        <w:t>单位</w:t>
      </w:r>
      <w:r>
        <w:rPr>
          <w:rFonts w:hint="eastAsia" w:ascii="方正小标宋简体" w:hAnsi="方正小标宋简体" w:eastAsia="方正小标宋简体" w:cs="方正小标宋简体"/>
          <w:color w:val="auto"/>
          <w:sz w:val="52"/>
          <w:szCs w:val="5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hint="eastAsia" w:ascii="仿宋" w:hAnsi="仿宋" w:eastAsia="仿宋" w:cs="Times New Roman"/>
          <w:bCs/>
          <w:color w:val="000000"/>
          <w:kern w:val="0"/>
          <w:sz w:val="32"/>
          <w:szCs w:val="32"/>
          <w:lang w:val="en-US" w:eastAsia="zh-CN" w:bidi="ar-SA"/>
        </w:rPr>
      </w:pPr>
    </w:p>
    <w:p>
      <w:pPr>
        <w:pStyle w:val="10"/>
        <w:rPr>
          <w:rFonts w:hint="eastAsia" w:ascii="仿宋" w:hAnsi="仿宋" w:eastAsia="仿宋" w:cs="Times New Roman"/>
          <w:bCs/>
          <w:color w:val="000000"/>
          <w:kern w:val="0"/>
          <w:sz w:val="32"/>
          <w:szCs w:val="32"/>
          <w:lang w:val="en-US" w:eastAsia="zh-CN" w:bidi="ar-SA"/>
        </w:rPr>
      </w:pPr>
      <w:r>
        <w:rPr>
          <w:rFonts w:hint="eastAsia" w:ascii="仿宋" w:hAnsi="仿宋" w:eastAsia="仿宋" w:cs="Times New Roman"/>
          <w:bCs/>
          <w:color w:val="000000"/>
          <w:kern w:val="0"/>
          <w:sz w:val="32"/>
          <w:szCs w:val="32"/>
          <w:lang w:val="en-US" w:eastAsia="zh-CN" w:bidi="ar-SA"/>
        </w:rPr>
        <w:t>公开时间：2023年 9月 26日</w:t>
      </w:r>
    </w:p>
    <w:p>
      <w:pPr>
        <w:widowControl/>
        <w:jc w:val="center"/>
      </w:pPr>
      <w:bookmarkStart w:id="12" w:name="_Toc15396599"/>
      <w:bookmarkStart w:id="13" w:name="_Toc15377196"/>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w:t>
      </w:r>
      <w:r>
        <w:rPr>
          <w:rStyle w:val="16"/>
          <w:rFonts w:hint="eastAsia"/>
        </w:rPr>
        <w:t>202</w:t>
      </w:r>
      <w:r>
        <w:rPr>
          <w:rStyle w:val="16"/>
          <w:rFonts w:hint="eastAsia"/>
          <w:lang w:val="en-US" w:eastAsia="zh-CN"/>
        </w:rPr>
        <w:t>2</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eastAsia="仿宋"/>
          <w:lang w:val="en-US" w:eastAsia="zh-CN"/>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2</w:t>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Fonts w:hint="eastAsia"/>
          <w:lang w:eastAsia="zh-CN"/>
        </w:rPr>
        <w:t>八</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rPr>
          <w:rFonts w:hint="eastAsia"/>
          <w:lang w:val="en-US" w:eastAsia="zh-CN"/>
        </w:rPr>
        <w:t>1</w:t>
      </w:r>
      <w:r>
        <w:fldChar w:fldCharType="end"/>
      </w:r>
      <w:r>
        <w:rPr>
          <w:rFonts w:hint="eastAsia"/>
          <w:lang w:val="en-US" w:eastAsia="zh-CN"/>
        </w:rPr>
        <w:t>9</w:t>
      </w:r>
    </w:p>
    <w:p>
      <w:pPr>
        <w:pStyle w:val="10"/>
        <w:rPr>
          <w:rFonts w:hint="eastAsia" w:ascii="仿宋" w:hAnsi="仿宋" w:eastAsia="仿宋" w:cstheme="minorBidi"/>
          <w:sz w:val="28"/>
          <w:szCs w:val="28"/>
          <w:lang w:val="en-US" w:eastAsia="zh-CN"/>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rPr>
          <w:rFonts w:hint="eastAsia"/>
          <w:lang w:val="en-US" w:eastAsia="zh-CN"/>
        </w:rPr>
        <w:t>2</w:t>
      </w:r>
      <w:r>
        <w:fldChar w:fldCharType="end"/>
      </w:r>
      <w:r>
        <w:rPr>
          <w:rFonts w:hint="eastAsia"/>
          <w:lang w:val="en-US" w:eastAsia="zh-CN"/>
        </w:rPr>
        <w:t>2</w:t>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2</w:t>
      </w:r>
      <w:r>
        <w:rPr>
          <w:rFonts w:hint="eastAsia"/>
        </w:rPr>
        <w:fldChar w:fldCharType="end"/>
      </w:r>
      <w:r>
        <w:rPr>
          <w:rFonts w:hint="eastAsia"/>
          <w:lang w:val="en-US" w:eastAsia="zh-CN"/>
        </w:rPr>
        <w:t>6</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2"/>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3"/>
        <w:numPr>
          <w:ilvl w:val="0"/>
          <w:numId w:val="1"/>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主要职责</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我单位是财政差额拨款的公益二类事业单位。主要从事森林资源、生物多样性调查，林业规划设计、监理、咨询、可行性论证，森林资源监测、林权勘验、资产评估，自然保护区、林木种苗规划设计等工作。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（二）202</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今年我单位主要完成金阳县百草坡自然保护区森林草原防灭火基础设施建设项目对四川百草坡自然保护区自然资源、自然生态系统和主要保护对象的影响评价报告编制服务</w:t>
      </w:r>
      <w:r>
        <w:rPr>
          <w:rFonts w:hint="eastAsia" w:ascii="仿宋" w:hAnsi="仿宋" w:eastAsia="仿宋"/>
          <w:bCs/>
          <w:color w:val="000000"/>
          <w:sz w:val="32"/>
          <w:szCs w:val="32"/>
          <w:lang w:eastAsia="zh-CN"/>
        </w:rPr>
        <w:t>、大弯腰树水电站110千伏送出工程建设使用林地、草地可行性报告编制服务项目、会东县造林绿化空间调查评估、西昌至宁南高速公路ZCB2施工总承包项目经理部临时使用林地可行性报告编制服务、昭觉县2022年森林草原防灭火应急通道建设项目使用林地可行性报告编制、2021年度盐源县中央储备林建设实施方案编制、凉山彝族自治州林业和草原局林草产业发展资金项目、会东县2022年森林督查图斑核实工作、G7611西昌至香格里拉（四川境）高速公路项目ZCB1-1、ZCB1-2临时使用林地及草地可行性报告、昭觉县森林、草原、湿地生态系统外来入侵物种普查项目 、洛古水电站水光互补项目100MW光伏电站、雷波县2022年森林督查暨森林草原湿地调查监测技术服务项目</w:t>
      </w:r>
      <w:r>
        <w:rPr>
          <w:rFonts w:hint="eastAsia" w:ascii="仿宋" w:hAnsi="仿宋" w:eastAsia="仿宋"/>
          <w:bCs/>
          <w:color w:val="000000"/>
          <w:sz w:val="32"/>
          <w:szCs w:val="32"/>
          <w:lang w:val="en-US" w:eastAsia="zh-CN"/>
        </w:rPr>
        <w:t>等项目，</w:t>
      </w:r>
      <w:r>
        <w:rPr>
          <w:rFonts w:hint="eastAsia" w:ascii="仿宋" w:hAnsi="仿宋" w:eastAsia="仿宋"/>
          <w:bCs/>
          <w:color w:val="000000"/>
          <w:sz w:val="32"/>
          <w:szCs w:val="32"/>
        </w:rPr>
        <w:t>同时积极参与扶贫攻坚、乡村振兴等。</w:t>
      </w:r>
    </w:p>
    <w:p>
      <w:pPr>
        <w:rPr>
          <w:rFonts w:hint="eastAsia"/>
          <w:lang w:eastAsia="zh-CN"/>
        </w:rPr>
      </w:pPr>
    </w:p>
    <w:p>
      <w:pPr>
        <w:pStyle w:val="3"/>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lang w:val="en-US" w:eastAsia="zh-CN"/>
        </w:rPr>
        <w:t>凉山州林业调查规划设计院为凉山州林业和草原局下属的</w:t>
      </w:r>
      <w:r>
        <w:rPr>
          <w:rFonts w:hint="eastAsia" w:ascii="仿宋" w:hAnsi="仿宋" w:eastAsia="仿宋"/>
          <w:color w:val="000000"/>
          <w:sz w:val="32"/>
          <w:szCs w:val="32"/>
        </w:rPr>
        <w:t>财政差额拨款的独立核算的一级单位。设有党务人事处、监察室、财务处、行政办公室、总工办、生态监测中心办公室、生产经营处、林业调查测绘所、林业规划设计所9个部门。单位截止202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年在职职工</w:t>
      </w:r>
      <w:r>
        <w:rPr>
          <w:rFonts w:hint="eastAsia" w:ascii="仿宋" w:hAnsi="仿宋" w:eastAsia="仿宋"/>
          <w:color w:val="000000"/>
          <w:sz w:val="32"/>
          <w:szCs w:val="32"/>
          <w:lang w:val="en-US" w:eastAsia="zh-CN"/>
        </w:rPr>
        <w:t>99</w:t>
      </w:r>
      <w:r>
        <w:rPr>
          <w:rFonts w:hint="eastAsia" w:ascii="仿宋" w:hAnsi="仿宋" w:eastAsia="仿宋"/>
          <w:color w:val="000000"/>
          <w:sz w:val="32"/>
          <w:szCs w:val="32"/>
        </w:rPr>
        <w:t>人。</w:t>
      </w: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5"/>
          <w:rFonts w:ascii="黑体" w:hAnsi="黑体" w:eastAsia="黑体"/>
          <w:b w:val="0"/>
          <w:bCs/>
          <w:color w:val="auto"/>
          <w:highlight w:val="none"/>
        </w:rPr>
      </w:pPr>
      <w:bookmarkStart w:id="20" w:name="_Toc15377204"/>
      <w:bookmarkStart w:id="21"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20"/>
      <w:bookmarkEnd w:id="21"/>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77205"/>
      <w:bookmarkStart w:id="23"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2"/>
      <w:bookmarkEnd w:id="23"/>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6361.58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1176.85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rPr>
        <w:t>我单位为差额拨款事业单位，财政拨款70%</w:t>
      </w:r>
      <w:r>
        <w:rPr>
          <w:rFonts w:hint="eastAsia" w:ascii="仿宋" w:hAnsi="仿宋" w:eastAsia="仿宋"/>
          <w:color w:val="000000"/>
          <w:sz w:val="32"/>
          <w:szCs w:val="32"/>
          <w:lang w:val="en-US" w:eastAsia="zh-CN"/>
        </w:rPr>
        <w:t>用于人员经费开支</w:t>
      </w:r>
      <w:r>
        <w:rPr>
          <w:rFonts w:hint="eastAsia" w:ascii="仿宋" w:hAnsi="仿宋" w:eastAsia="仿宋"/>
          <w:color w:val="000000"/>
          <w:sz w:val="32"/>
          <w:szCs w:val="32"/>
        </w:rPr>
        <w:t>，另外30%通过开展经营活动</w:t>
      </w:r>
      <w:r>
        <w:rPr>
          <w:rFonts w:hint="eastAsia" w:ascii="仿宋" w:hAnsi="仿宋" w:eastAsia="仿宋"/>
          <w:color w:val="000000"/>
          <w:sz w:val="32"/>
          <w:szCs w:val="32"/>
          <w:lang w:val="en-US" w:eastAsia="zh-CN"/>
        </w:rPr>
        <w:t>取得收入</w:t>
      </w:r>
      <w:r>
        <w:rPr>
          <w:rFonts w:hint="eastAsia" w:ascii="仿宋" w:hAnsi="仿宋" w:eastAsia="仿宋"/>
          <w:color w:val="000000"/>
          <w:sz w:val="32"/>
          <w:szCs w:val="32"/>
        </w:rPr>
        <w:t>弥补</w:t>
      </w:r>
      <w:r>
        <w:rPr>
          <w:rFonts w:hint="eastAsia" w:ascii="仿宋" w:hAnsi="仿宋" w:eastAsia="仿宋"/>
          <w:color w:val="000000"/>
          <w:sz w:val="32"/>
          <w:szCs w:val="32"/>
          <w:lang w:val="en-US" w:eastAsia="zh-CN"/>
        </w:rPr>
        <w:t>人员经费不足部分、公用经费及项目支出</w:t>
      </w:r>
      <w:r>
        <w:rPr>
          <w:rFonts w:hint="eastAsia" w:ascii="仿宋" w:hAnsi="仿宋" w:eastAsia="仿宋"/>
          <w:color w:val="000000"/>
          <w:sz w:val="32"/>
          <w:szCs w:val="32"/>
        </w:rPr>
        <w:t>。由于</w:t>
      </w:r>
      <w:r>
        <w:rPr>
          <w:rFonts w:hint="eastAsia" w:ascii="仿宋" w:hAnsi="仿宋" w:eastAsia="仿宋"/>
          <w:color w:val="000000"/>
          <w:sz w:val="32"/>
          <w:szCs w:val="32"/>
          <w:lang w:eastAsia="zh-CN"/>
        </w:rPr>
        <w:t>我单位</w:t>
      </w:r>
      <w:r>
        <w:rPr>
          <w:rFonts w:hint="eastAsia" w:ascii="仿宋" w:hAnsi="仿宋" w:eastAsia="仿宋"/>
          <w:color w:val="000000"/>
          <w:sz w:val="32"/>
          <w:szCs w:val="32"/>
          <w:lang w:val="en-US" w:eastAsia="zh-CN"/>
        </w:rPr>
        <w:t>2022年市场经营状况良好</w:t>
      </w:r>
      <w:r>
        <w:rPr>
          <w:rFonts w:hint="eastAsia" w:ascii="仿宋" w:hAnsi="仿宋" w:eastAsia="仿宋"/>
          <w:color w:val="000000"/>
          <w:sz w:val="32"/>
          <w:szCs w:val="32"/>
          <w:lang w:eastAsia="zh-CN"/>
        </w:rPr>
        <w:t>签订项目数量增加，收入有所上升，</w:t>
      </w:r>
      <w:r>
        <w:rPr>
          <w:rFonts w:hint="eastAsia" w:ascii="仿宋" w:hAnsi="仿宋" w:eastAsia="仿宋"/>
          <w:color w:val="000000"/>
          <w:sz w:val="32"/>
          <w:szCs w:val="32"/>
          <w:lang w:val="en-US" w:eastAsia="zh-CN"/>
        </w:rPr>
        <w:t>支出同向增加</w:t>
      </w:r>
      <w:r>
        <w:rPr>
          <w:rFonts w:hint="eastAsia" w:ascii="仿宋" w:hAnsi="仿宋" w:eastAsia="仿宋"/>
          <w:color w:val="000000"/>
          <w:sz w:val="32"/>
          <w:szCs w:val="32"/>
        </w:rPr>
        <w:t>。</w:t>
      </w:r>
      <w:r>
        <w:rPr>
          <w:rFonts w:hint="eastAsia" w:ascii="仿宋" w:hAnsi="仿宋" w:eastAsia="仿宋"/>
          <w:color w:val="000000"/>
          <w:sz w:val="32"/>
          <w:szCs w:val="32"/>
          <w:lang w:eastAsia="zh-CN"/>
        </w:rPr>
        <w:t>基本支出增加是因为工资绩效上调，及新进人员较多。</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0"/>
        </w:numPr>
        <w:tabs>
          <w:tab w:val="left" w:pos="5965"/>
        </w:tabs>
        <w:spacing w:line="600" w:lineRule="exact"/>
        <w:outlineLvl w:val="1"/>
        <w:rPr>
          <w:rFonts w:hint="eastAsia" w:ascii="黑体" w:hAnsi="黑体" w:eastAsia="黑体"/>
          <w:color w:val="auto"/>
          <w:sz w:val="32"/>
          <w:szCs w:val="32"/>
          <w:highlight w:val="none"/>
        </w:rPr>
      </w:pPr>
      <w:bookmarkStart w:id="24" w:name="_Toc15396604"/>
      <w:bookmarkStart w:id="25" w:name="_Toc15377206"/>
    </w:p>
    <w:p>
      <w:pPr>
        <w:pStyle w:val="24"/>
        <w:numPr>
          <w:ilvl w:val="0"/>
          <w:numId w:val="0"/>
        </w:numPr>
        <w:spacing w:line="600" w:lineRule="exact"/>
        <w:ind w:firstLine="640" w:firstLineChars="200"/>
        <w:outlineLvl w:val="1"/>
        <w:rPr>
          <w:rStyle w:val="26"/>
          <w:rFonts w:ascii="黑体" w:hAnsi="黑体" w:eastAsia="黑体"/>
          <w:b w:val="0"/>
          <w:color w:val="auto"/>
          <w:highlight w:val="none"/>
        </w:rPr>
      </w:pP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4"/>
      <w:bookmarkEnd w:id="25"/>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3180.79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3179.5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220980</wp:posOffset>
            </wp:positionH>
            <wp:positionV relativeFrom="paragraph">
              <wp:posOffset>248920</wp:posOffset>
            </wp:positionV>
            <wp:extent cx="5682615" cy="3208655"/>
            <wp:effectExtent l="4445" t="4445" r="12700" b="1778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rPr>
          <w:rFonts w:ascii="仿宋_GB2312" w:eastAsia="仿宋_GB2312"/>
          <w:color w:val="auto"/>
          <w:sz w:val="32"/>
          <w:szCs w:val="32"/>
          <w:highlight w:val="none"/>
        </w:rPr>
      </w:pPr>
    </w:p>
    <w:p>
      <w:pPr>
        <w:pStyle w:val="24"/>
        <w:numPr>
          <w:ilvl w:val="0"/>
          <w:numId w:val="0"/>
        </w:numPr>
        <w:spacing w:line="600" w:lineRule="exact"/>
        <w:ind w:left="640" w:leftChars="0"/>
        <w:outlineLvl w:val="1"/>
        <w:rPr>
          <w:rStyle w:val="26"/>
          <w:rFonts w:ascii="黑体" w:hAnsi="黑体" w:eastAsia="黑体"/>
          <w:b w:val="0"/>
          <w:color w:val="auto"/>
          <w:highlight w:val="none"/>
        </w:rPr>
      </w:pPr>
      <w:bookmarkStart w:id="26" w:name="_Toc15396605"/>
      <w:bookmarkStart w:id="27" w:name="_Toc15377207"/>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6"/>
      <w:bookmarkEnd w:id="27"/>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3179.5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2120.52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1058.98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33</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spacing w:line="600" w:lineRule="exact"/>
        <w:ind w:firstLine="640" w:firstLineChars="200"/>
        <w:outlineLvl w:val="1"/>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8" w:name="_Toc15396606"/>
      <w:bookmarkStart w:id="29"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8"/>
      <w:bookmarkEnd w:id="29"/>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6359</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1174.27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eastAsia="zh-CN"/>
        </w:rPr>
        <w:t>基本支出增加是因为工资绩效上调，及新进人员较多，</w:t>
      </w:r>
      <w:r>
        <w:rPr>
          <w:rFonts w:hint="eastAsia" w:ascii="仿宋" w:hAnsi="仿宋" w:eastAsia="仿宋"/>
          <w:color w:val="000000"/>
          <w:sz w:val="32"/>
          <w:szCs w:val="32"/>
          <w:lang w:val="en-US" w:eastAsia="zh-CN"/>
        </w:rPr>
        <w:t>项目支出增加主要原因是因为签订项目数量增多，故当年项目支出相应增加</w:t>
      </w:r>
      <w:r>
        <w:rPr>
          <w:rFonts w:hint="eastAsia" w:ascii="仿宋" w:hAnsi="仿宋" w:eastAsia="仿宋"/>
          <w:color w:val="000000"/>
          <w:sz w:val="32"/>
          <w:szCs w:val="32"/>
          <w:lang w:eastAsia="zh-CN"/>
        </w:rPr>
        <w:t>。</w: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财</w:t>
      </w: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960" w:firstLineChars="300"/>
        <w:outlineLvl w:val="1"/>
        <w:rPr>
          <w:rFonts w:hint="eastAsia" w:ascii="黑体" w:hAnsi="黑体" w:eastAsia="黑体"/>
          <w:color w:val="auto"/>
          <w:sz w:val="32"/>
          <w:szCs w:val="32"/>
          <w:highlight w:val="none"/>
        </w:rPr>
      </w:pPr>
      <w:bookmarkStart w:id="30" w:name="_Toc15396607"/>
      <w:bookmarkStart w:id="31" w:name="_Toc15377209"/>
    </w:p>
    <w:p>
      <w:pPr>
        <w:spacing w:line="600" w:lineRule="exact"/>
        <w:ind w:firstLine="960" w:firstLineChars="300"/>
        <w:outlineLvl w:val="1"/>
        <w:rPr>
          <w:rFonts w:hint="eastAsia" w:ascii="黑体" w:hAnsi="黑体" w:eastAsia="黑体"/>
          <w:color w:val="auto"/>
          <w:sz w:val="32"/>
          <w:szCs w:val="32"/>
          <w:highlight w:val="none"/>
        </w:rPr>
      </w:pPr>
    </w:p>
    <w:p>
      <w:pPr>
        <w:spacing w:line="600" w:lineRule="exact"/>
        <w:ind w:firstLine="960" w:firstLineChars="300"/>
        <w:outlineLvl w:val="1"/>
        <w:rPr>
          <w:rFonts w:hint="eastAsia" w:ascii="黑体" w:hAnsi="黑体" w:eastAsia="黑体"/>
          <w:color w:val="auto"/>
          <w:sz w:val="32"/>
          <w:szCs w:val="32"/>
          <w:highlight w:val="none"/>
        </w:rPr>
      </w:pPr>
    </w:p>
    <w:p>
      <w:pPr>
        <w:spacing w:line="600" w:lineRule="exact"/>
        <w:ind w:firstLine="960" w:firstLineChars="300"/>
        <w:outlineLvl w:val="1"/>
        <w:rPr>
          <w:rFonts w:hint="eastAsia" w:ascii="黑体" w:hAnsi="黑体" w:eastAsia="黑体"/>
          <w:color w:val="auto"/>
          <w:sz w:val="32"/>
          <w:szCs w:val="32"/>
          <w:highlight w:val="none"/>
        </w:rPr>
      </w:pPr>
    </w:p>
    <w:p>
      <w:pPr>
        <w:spacing w:line="600" w:lineRule="exact"/>
        <w:outlineLvl w:val="1"/>
        <w:rPr>
          <w:rFonts w:hint="eastAsia" w:ascii="黑体" w:hAnsi="黑体" w:eastAsia="黑体"/>
          <w:color w:val="auto"/>
          <w:sz w:val="32"/>
          <w:szCs w:val="32"/>
          <w:highlight w:val="none"/>
        </w:rPr>
      </w:pPr>
    </w:p>
    <w:p>
      <w:pPr>
        <w:spacing w:line="600" w:lineRule="exact"/>
        <w:ind w:firstLine="960" w:firstLineChars="300"/>
        <w:outlineLvl w:val="1"/>
        <w:rPr>
          <w:rStyle w:val="26"/>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0"/>
      <w:bookmarkEnd w:id="31"/>
    </w:p>
    <w:p>
      <w:pPr>
        <w:spacing w:line="600" w:lineRule="exact"/>
        <w:ind w:firstLine="643" w:firstLineChars="200"/>
        <w:outlineLvl w:val="2"/>
        <w:rPr>
          <w:rFonts w:ascii="仿宋" w:hAnsi="仿宋" w:eastAsia="仿宋"/>
          <w:b/>
          <w:color w:val="auto"/>
          <w:sz w:val="32"/>
          <w:szCs w:val="32"/>
          <w:highlight w:val="none"/>
        </w:rPr>
      </w:pPr>
      <w:bookmarkStart w:id="32" w:name="_Toc15377210"/>
      <w:r>
        <w:rPr>
          <w:rFonts w:hint="eastAsia" w:ascii="仿宋" w:hAnsi="仿宋" w:eastAsia="仿宋"/>
          <w:b/>
          <w:color w:val="auto"/>
          <w:sz w:val="32"/>
          <w:szCs w:val="32"/>
          <w:highlight w:val="none"/>
        </w:rPr>
        <w:t>（一）一般公共预算财政拨款支出决算总体情况</w:t>
      </w:r>
      <w:bookmarkEnd w:id="32"/>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3179.5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534.86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20.22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今年市场经营情况良好，签订合同项目增多，支出同向变动。同时开展喜德、会理、木里三县的森林火灾风险排查项目，支出较大。</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rPr>
          <w:rFonts w:hint="eastAsia" w:ascii="仿宋" w:hAnsi="仿宋" w:eastAsia="仿宋"/>
          <w:color w:val="auto"/>
          <w:sz w:val="32"/>
          <w:szCs w:val="32"/>
          <w:highlight w:val="none"/>
          <w:lang w:eastAsia="zh-CN"/>
        </w:rPr>
      </w:pP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3" w:name="_Toc15377211"/>
      <w:r>
        <w:rPr>
          <w:rFonts w:hint="eastAsia" w:ascii="仿宋" w:hAnsi="仿宋" w:eastAsia="仿宋"/>
          <w:b/>
          <w:color w:val="auto"/>
          <w:sz w:val="32"/>
          <w:szCs w:val="32"/>
          <w:highlight w:val="none"/>
        </w:rPr>
        <w:t>（二）一般公共预算财政拨款支出决算结构情况</w:t>
      </w:r>
      <w:bookmarkEnd w:id="33"/>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3179.5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726.49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农林水支出2453万元，占77.15%，</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支出464.56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123.55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138.38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4" w:name="_Toc15377212"/>
      <w:r>
        <w:rPr>
          <w:rFonts w:hint="eastAsia" w:ascii="仿宋" w:hAnsi="仿宋" w:eastAsia="仿宋"/>
          <w:b/>
          <w:color w:val="auto"/>
          <w:sz w:val="32"/>
          <w:szCs w:val="32"/>
          <w:highlight w:val="none"/>
        </w:rPr>
        <w:t>（三）一般公共预算财政拨款支出决算具体情况</w:t>
      </w:r>
      <w:bookmarkEnd w:id="34"/>
    </w:p>
    <w:p>
      <w:pPr>
        <w:spacing w:line="600" w:lineRule="exact"/>
        <w:ind w:firstLine="643" w:firstLineChars="200"/>
        <w:outlineLvl w:val="2"/>
        <w:rPr>
          <w:rFonts w:ascii="仿宋" w:hAnsi="仿宋" w:eastAsia="仿宋"/>
          <w:color w:val="auto"/>
          <w:sz w:val="32"/>
          <w:szCs w:val="32"/>
          <w:highlight w:val="none"/>
        </w:rPr>
      </w:pPr>
      <w:bookmarkStart w:id="35" w:name="_Toc15378460"/>
      <w:bookmarkStart w:id="36" w:name="_Toc15377213"/>
      <w:bookmarkStart w:id="37"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3179.5万元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hint="eastAsia" w:ascii="仿宋" w:hAnsi="仿宋" w:eastAsia="仿宋"/>
          <w:bCs/>
          <w:color w:val="auto"/>
          <w:sz w:val="32"/>
          <w:szCs w:val="32"/>
          <w:highlight w:val="none"/>
        </w:rPr>
        <w:t>。其中：</w:t>
      </w:r>
      <w:bookmarkEnd w:id="35"/>
      <w:bookmarkEnd w:id="36"/>
      <w:bookmarkEnd w:id="37"/>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color w:val="auto"/>
          <w:sz w:val="32"/>
          <w:szCs w:val="32"/>
          <w:highlight w:val="none"/>
          <w:lang w:val="en-US" w:eastAsia="zh-CN"/>
        </w:rPr>
        <w:t>208</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05</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Fonts w:hint="eastAsia" w:ascii="仿宋" w:hAnsi="仿宋" w:eastAsia="仿宋"/>
          <w:b/>
          <w:bCs/>
          <w:color w:val="auto"/>
          <w:sz w:val="32"/>
          <w:szCs w:val="32"/>
          <w:highlight w:val="none"/>
        </w:rPr>
        <w:t>464.56</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超额完成预算。</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大于</w:t>
      </w:r>
      <w:r>
        <w:rPr>
          <w:rStyle w:val="14"/>
          <w:rFonts w:hint="eastAsia" w:ascii="仿宋" w:hAnsi="仿宋" w:eastAsia="仿宋"/>
          <w:b w:val="0"/>
          <w:bCs/>
          <w:color w:val="auto"/>
          <w:sz w:val="32"/>
          <w:szCs w:val="32"/>
          <w:highlight w:val="none"/>
        </w:rPr>
        <w:t>预算数的主要原因是</w:t>
      </w:r>
      <w:r>
        <w:rPr>
          <w:rStyle w:val="14"/>
          <w:rFonts w:hint="eastAsia" w:ascii="仿宋" w:hAnsi="仿宋" w:eastAsia="仿宋"/>
          <w:b w:val="0"/>
          <w:bCs/>
          <w:color w:val="auto"/>
          <w:sz w:val="32"/>
          <w:szCs w:val="32"/>
          <w:highlight w:val="none"/>
          <w:lang w:val="en-US" w:eastAsia="zh-CN"/>
        </w:rPr>
        <w:t>单位新进人员较多及工资基数调标等</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210</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11</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123.55</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超额完成预算。</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大于</w:t>
      </w:r>
      <w:r>
        <w:rPr>
          <w:rStyle w:val="14"/>
          <w:rFonts w:hint="eastAsia" w:ascii="仿宋" w:hAnsi="仿宋" w:eastAsia="仿宋"/>
          <w:b w:val="0"/>
          <w:bCs/>
          <w:color w:val="auto"/>
          <w:sz w:val="32"/>
          <w:szCs w:val="32"/>
          <w:highlight w:val="none"/>
        </w:rPr>
        <w:t>预算数的主要原因是</w:t>
      </w:r>
      <w:r>
        <w:rPr>
          <w:rStyle w:val="14"/>
          <w:rFonts w:hint="eastAsia" w:ascii="仿宋" w:hAnsi="仿宋" w:eastAsia="仿宋"/>
          <w:b w:val="0"/>
          <w:bCs/>
          <w:color w:val="auto"/>
          <w:sz w:val="32"/>
          <w:szCs w:val="32"/>
          <w:highlight w:val="none"/>
          <w:lang w:val="en-US" w:eastAsia="zh-CN"/>
        </w:rPr>
        <w:t>单位新进人员较多及工资基数调标等</w:t>
      </w:r>
      <w:r>
        <w:rPr>
          <w:rStyle w:val="14"/>
          <w:rFonts w:hint="eastAsia" w:ascii="仿宋" w:hAnsi="仿宋" w:eastAsia="仿宋"/>
          <w:b w:val="0"/>
          <w:bCs/>
          <w:color w:val="auto"/>
          <w:sz w:val="32"/>
          <w:szCs w:val="32"/>
          <w:highlight w:val="none"/>
        </w:rPr>
        <w:t>。</w:t>
      </w:r>
    </w:p>
    <w:p>
      <w:pPr>
        <w:spacing w:line="600" w:lineRule="exact"/>
        <w:ind w:firstLine="640" w:firstLineChars="200"/>
        <w:rPr>
          <w:rStyle w:val="14"/>
          <w:rFonts w:hint="eastAsia" w:ascii="仿宋" w:hAnsi="仿宋" w:eastAsia="仿宋"/>
          <w:b w:val="0"/>
          <w:bCs/>
          <w:color w:val="auto"/>
          <w:sz w:val="32"/>
          <w:szCs w:val="32"/>
          <w:highlight w:val="none"/>
        </w:rPr>
      </w:pP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住房保障</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221</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02</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138.38</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超额完成预算。</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大于</w:t>
      </w:r>
      <w:r>
        <w:rPr>
          <w:rStyle w:val="14"/>
          <w:rFonts w:hint="eastAsia" w:ascii="仿宋" w:hAnsi="仿宋" w:eastAsia="仿宋"/>
          <w:b w:val="0"/>
          <w:bCs/>
          <w:color w:val="auto"/>
          <w:sz w:val="32"/>
          <w:szCs w:val="32"/>
          <w:highlight w:val="none"/>
        </w:rPr>
        <w:t>预算数的主要原因是</w:t>
      </w:r>
      <w:r>
        <w:rPr>
          <w:rStyle w:val="14"/>
          <w:rFonts w:hint="eastAsia" w:ascii="仿宋" w:hAnsi="仿宋" w:eastAsia="仿宋"/>
          <w:b w:val="0"/>
          <w:bCs/>
          <w:color w:val="auto"/>
          <w:sz w:val="32"/>
          <w:szCs w:val="32"/>
          <w:highlight w:val="none"/>
          <w:lang w:val="en-US" w:eastAsia="zh-CN"/>
        </w:rPr>
        <w:t>单位新进人员较多及工资基数调标等</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lang w:val="en-US" w:eastAsia="zh-CN"/>
        </w:rPr>
        <w:t>农林水</w:t>
      </w:r>
      <w:r>
        <w:rPr>
          <w:rStyle w:val="14"/>
          <w:rFonts w:hint="eastAsia" w:ascii="仿宋" w:hAnsi="仿宋" w:eastAsia="仿宋"/>
          <w:bCs/>
          <w:color w:val="auto"/>
          <w:sz w:val="32"/>
          <w:szCs w:val="32"/>
          <w:highlight w:val="none"/>
        </w:rPr>
        <w:t>（类）</w:t>
      </w:r>
      <w:r>
        <w:rPr>
          <w:rStyle w:val="14"/>
          <w:rFonts w:hint="eastAsia" w:ascii="仿宋" w:hAnsi="仿宋" w:eastAsia="仿宋"/>
          <w:bCs/>
          <w:color w:val="auto"/>
          <w:sz w:val="32"/>
          <w:szCs w:val="32"/>
          <w:highlight w:val="none"/>
          <w:lang w:val="en-US" w:eastAsia="zh-CN"/>
        </w:rPr>
        <w:t>213</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04</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2453</w:t>
      </w:r>
      <w:r>
        <w:rPr>
          <w:rStyle w:val="14"/>
          <w:rFonts w:hint="eastAsia" w:ascii="仿宋" w:hAnsi="仿宋" w:eastAsia="仿宋"/>
          <w:b w:val="0"/>
          <w:bCs/>
          <w:color w:val="auto"/>
          <w:sz w:val="32"/>
          <w:szCs w:val="32"/>
          <w:highlight w:val="none"/>
        </w:rPr>
        <w:t>万元，</w:t>
      </w:r>
      <w:r>
        <w:rPr>
          <w:rStyle w:val="14"/>
          <w:rFonts w:hint="eastAsia" w:ascii="仿宋" w:hAnsi="仿宋" w:eastAsia="仿宋"/>
          <w:b w:val="0"/>
          <w:bCs/>
          <w:color w:val="auto"/>
          <w:sz w:val="32"/>
          <w:szCs w:val="32"/>
          <w:highlight w:val="none"/>
          <w:lang w:val="en-US" w:eastAsia="zh-CN"/>
        </w:rPr>
        <w:t>超额完成预算。</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大于</w:t>
      </w:r>
      <w:r>
        <w:rPr>
          <w:rStyle w:val="14"/>
          <w:rFonts w:hint="eastAsia" w:ascii="仿宋" w:hAnsi="仿宋" w:eastAsia="仿宋"/>
          <w:b w:val="0"/>
          <w:bCs/>
          <w:color w:val="auto"/>
          <w:sz w:val="32"/>
          <w:szCs w:val="32"/>
          <w:highlight w:val="none"/>
        </w:rPr>
        <w:t>预算数的主要原因是</w:t>
      </w:r>
      <w:r>
        <w:rPr>
          <w:rStyle w:val="14"/>
          <w:rFonts w:hint="eastAsia" w:ascii="仿宋" w:hAnsi="仿宋" w:eastAsia="仿宋"/>
          <w:b w:val="0"/>
          <w:bCs/>
          <w:color w:val="auto"/>
          <w:sz w:val="32"/>
          <w:szCs w:val="32"/>
          <w:highlight w:val="none"/>
          <w:lang w:val="en-US" w:eastAsia="zh-CN"/>
        </w:rPr>
        <w:t>单位当年新签订签订较多，单位支出增加等。</w:t>
      </w:r>
    </w:p>
    <w:p>
      <w:pPr>
        <w:tabs>
          <w:tab w:val="right" w:pos="8306"/>
        </w:tabs>
        <w:spacing w:line="600" w:lineRule="exact"/>
        <w:ind w:firstLine="640"/>
        <w:outlineLvl w:val="1"/>
        <w:rPr>
          <w:rStyle w:val="26"/>
          <w:color w:val="auto"/>
          <w:highlight w:val="none"/>
        </w:rPr>
      </w:pPr>
      <w:bookmarkStart w:id="38" w:name="_Toc15377214"/>
      <w:bookmarkStart w:id="3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8"/>
      <w:bookmarkEnd w:id="39"/>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2120.52</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2066.16</w:t>
      </w:r>
      <w:r>
        <w:rPr>
          <w:rFonts w:hint="eastAsia" w:ascii="仿宋" w:hAnsi="仿宋" w:eastAsia="仿宋"/>
          <w:color w:val="auto"/>
          <w:sz w:val="32"/>
          <w:szCs w:val="32"/>
          <w:highlight w:val="none"/>
        </w:rPr>
        <w:t>元，主要包括：基本工资</w:t>
      </w:r>
      <w:r>
        <w:rPr>
          <w:rFonts w:hint="eastAsia" w:ascii="仿宋" w:hAnsi="仿宋" w:eastAsia="仿宋"/>
          <w:color w:val="auto"/>
          <w:sz w:val="32"/>
          <w:szCs w:val="32"/>
          <w:highlight w:val="none"/>
          <w:lang w:val="en-US" w:eastAsia="zh-CN"/>
        </w:rPr>
        <w:t>484.12万元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33.78万元</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149.41万元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614.98万元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145.4万元</w:t>
      </w:r>
      <w:r>
        <w:rPr>
          <w:rFonts w:hint="eastAsia" w:ascii="仿宋" w:hAnsi="仿宋" w:eastAsia="仿宋"/>
          <w:color w:val="auto"/>
          <w:sz w:val="32"/>
          <w:szCs w:val="32"/>
          <w:highlight w:val="none"/>
        </w:rPr>
        <w:t>、职业年金缴费</w:t>
      </w:r>
      <w:r>
        <w:rPr>
          <w:rFonts w:hint="eastAsia" w:ascii="仿宋" w:hAnsi="仿宋" w:eastAsia="仿宋"/>
          <w:color w:val="auto"/>
          <w:sz w:val="32"/>
          <w:szCs w:val="32"/>
          <w:highlight w:val="none"/>
          <w:lang w:val="en-US" w:eastAsia="zh-CN"/>
        </w:rPr>
        <w:t>79.19万元</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val="en-US" w:eastAsia="zh-CN"/>
        </w:rPr>
        <w:t>3.42万元</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val="en-US" w:eastAsia="zh-CN"/>
        </w:rPr>
        <w:t>12.63万元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9.01万元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34.06万元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138.38万元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238.66万元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54.36</w:t>
      </w:r>
      <w:r>
        <w:rPr>
          <w:rFonts w:hint="eastAsia" w:ascii="仿宋" w:hAnsi="仿宋" w:eastAsia="仿宋"/>
          <w:color w:val="auto"/>
          <w:sz w:val="32"/>
          <w:szCs w:val="32"/>
          <w:highlight w:val="none"/>
        </w:rPr>
        <w:t>万元，主要包括：</w:t>
      </w:r>
      <w:r>
        <w:rPr>
          <w:rFonts w:hint="eastAsia" w:ascii="仿宋" w:hAnsi="仿宋" w:eastAsia="仿宋"/>
          <w:color w:val="auto"/>
          <w:sz w:val="32"/>
          <w:szCs w:val="32"/>
          <w:highlight w:val="none"/>
          <w:lang w:val="en-US" w:eastAsia="zh-CN"/>
        </w:rPr>
        <w:t>工会经费15.3万元，福利费19.25万元，其他商品和服务支出19.82万元</w:t>
      </w:r>
      <w:r>
        <w:rPr>
          <w:rFonts w:hint="eastAsia" w:ascii="仿宋" w:hAnsi="仿宋" w:eastAsia="仿宋"/>
          <w:color w:val="auto"/>
          <w:sz w:val="32"/>
          <w:szCs w:val="32"/>
          <w:highlight w:val="none"/>
        </w:rPr>
        <w:t>。</w:t>
      </w:r>
    </w:p>
    <w:p>
      <w:pPr>
        <w:spacing w:line="600" w:lineRule="exact"/>
        <w:ind w:firstLine="640"/>
        <w:outlineLvl w:val="1"/>
        <w:rPr>
          <w:rStyle w:val="26"/>
          <w:rFonts w:ascii="黑体" w:hAnsi="黑体" w:eastAsia="黑体"/>
          <w:b w:val="0"/>
          <w:color w:val="auto"/>
          <w:highlight w:val="none"/>
        </w:rPr>
      </w:pPr>
      <w:bookmarkStart w:id="40" w:name="_Toc15377215"/>
      <w:bookmarkStart w:id="41" w:name="_Toc15396609"/>
      <w:r>
        <w:rPr>
          <w:rFonts w:hint="eastAsia" w:ascii="黑体" w:eastAsia="黑体"/>
          <w:color w:val="auto"/>
          <w:sz w:val="32"/>
          <w:szCs w:val="32"/>
          <w:highlight w:val="none"/>
        </w:rPr>
        <w:t>七、</w:t>
      </w:r>
      <w:r>
        <w:rPr>
          <w:rStyle w:val="26"/>
          <w:rFonts w:hint="eastAsia" w:ascii="黑体" w:hAnsi="黑体" w:eastAsia="黑体"/>
          <w:b w:val="0"/>
          <w:color w:val="auto"/>
          <w:highlight w:val="none"/>
        </w:rPr>
        <w:t>财政拨款</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三公”经费支出决算情况说明</w:t>
      </w:r>
      <w:bookmarkEnd w:id="40"/>
      <w:bookmarkEnd w:id="41"/>
    </w:p>
    <w:p>
      <w:pPr>
        <w:spacing w:line="600" w:lineRule="exact"/>
        <w:ind w:firstLine="640"/>
        <w:outlineLvl w:val="2"/>
        <w:rPr>
          <w:rFonts w:ascii="仿宋" w:hAnsi="仿宋" w:eastAsia="仿宋"/>
          <w:b/>
          <w:color w:val="auto"/>
          <w:sz w:val="32"/>
          <w:szCs w:val="32"/>
          <w:highlight w:val="none"/>
        </w:rPr>
      </w:pPr>
      <w:bookmarkStart w:id="42" w:name="_Toc15377216"/>
      <w:r>
        <w:rPr>
          <w:rFonts w:hint="eastAsia" w:ascii="仿宋" w:hAnsi="仿宋" w:eastAsia="仿宋"/>
          <w:b/>
          <w:color w:val="auto"/>
          <w:sz w:val="32"/>
          <w:szCs w:val="32"/>
          <w:highlight w:val="none"/>
        </w:rPr>
        <w:t>（一）“三公”经费财政拨款支出决算总体情况说明</w:t>
      </w:r>
      <w:bookmarkEnd w:id="42"/>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54.88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减少0.92万元，下降0.02%。</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严格执行中央八项规定要求，严格控制三公经费支出</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3" w:name="_Toc15377217"/>
      <w:r>
        <w:rPr>
          <w:rFonts w:hint="eastAsia" w:ascii="仿宋" w:hAnsi="仿宋" w:eastAsia="仿宋"/>
          <w:b/>
          <w:color w:val="auto"/>
          <w:sz w:val="32"/>
          <w:szCs w:val="32"/>
          <w:highlight w:val="none"/>
        </w:rPr>
        <w:t>（二）“三公”经费财政拨款支出决算具体情况说明</w:t>
      </w:r>
      <w:bookmarkEnd w:id="4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54.38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411480</wp:posOffset>
            </wp:positionH>
            <wp:positionV relativeFrom="paragraph">
              <wp:posOffset>-2693035</wp:posOffset>
            </wp:positionV>
            <wp:extent cx="5256530" cy="2988310"/>
            <wp:effectExtent l="5080" t="4445" r="11430" b="9525"/>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ind w:firstLine="640"/>
        <w:rPr>
          <w:rFonts w:hint="eastAsia" w:ascii="仿宋" w:hAnsi="仿宋" w:eastAsia="仿宋"/>
          <w:color w:val="auto"/>
          <w:sz w:val="32"/>
          <w:szCs w:val="32"/>
          <w:highlight w:val="none"/>
          <w:lang w:eastAsia="zh-CN"/>
        </w:rPr>
      </w:pPr>
    </w:p>
    <w:p>
      <w:pPr>
        <w:spacing w:line="600" w:lineRule="exact"/>
        <w:rPr>
          <w:rFonts w:hint="eastAsia" w:ascii="仿宋" w:hAnsi="仿宋" w:eastAsia="仿宋"/>
          <w:color w:val="auto"/>
          <w:sz w:val="32"/>
          <w:szCs w:val="32"/>
          <w:highlight w:val="none"/>
        </w:rPr>
      </w:pPr>
    </w:p>
    <w:p>
      <w:pPr>
        <w:numPr>
          <w:ilvl w:val="0"/>
          <w:numId w:val="3"/>
        </w:numPr>
        <w:spacing w:line="600" w:lineRule="exact"/>
        <w:ind w:firstLine="640"/>
        <w:rPr>
          <w:rFonts w:hint="eastAsia" w:ascii="仿宋_GB2312" w:eastAsia="仿宋_GB2312"/>
          <w:color w:val="auto"/>
          <w:sz w:val="32"/>
          <w:szCs w:val="32"/>
          <w:highlight w:val="none"/>
          <w:lang w:eastAsia="zh-CN"/>
        </w:rPr>
      </w:pP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numPr>
          <w:ilvl w:val="0"/>
          <w:numId w:val="3"/>
        </w:num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54.38</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99</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1.42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严格执行公务用车管理制度</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29.68</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29.68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开展单位野外工作用车</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辆，其中：越野车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29.67</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单位开展野外工作及行政出差用车</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0.5</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0.05</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3.5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99.95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严格执行中央有关八项规定的要求，严格控制单位公务接待费支出</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0.5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单位野外出差、</w:t>
      </w:r>
      <w:r>
        <w:rPr>
          <w:rFonts w:hint="eastAsia" w:ascii="仿宋_GB2312" w:eastAsia="仿宋_GB2312"/>
          <w:color w:val="auto"/>
          <w:sz w:val="32"/>
          <w:szCs w:val="32"/>
          <w:highlight w:val="none"/>
        </w:rPr>
        <w:t>执行公务、开展业务活动开支的交通费、住宿费、用餐费等。国内公务接待</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0.5</w:t>
      </w:r>
      <w:r>
        <w:rPr>
          <w:rFonts w:hint="eastAsia" w:ascii="仿宋_GB2312" w:eastAsia="仿宋_GB2312"/>
          <w:color w:val="auto"/>
          <w:sz w:val="32"/>
          <w:szCs w:val="32"/>
          <w:highlight w:val="none"/>
        </w:rPr>
        <w:t>万元，具体内容包括：</w:t>
      </w:r>
      <w:r>
        <w:rPr>
          <w:rFonts w:hint="eastAsia" w:ascii="仿宋" w:hAnsi="仿宋" w:eastAsia="仿宋"/>
          <w:bCs/>
          <w:color w:val="000000"/>
          <w:sz w:val="32"/>
          <w:szCs w:val="32"/>
        </w:rPr>
        <w:t>金阳县百草坡自然保护区森林草原防灭火基础设施建设项目对四川百草坡自然保护区自然资源、自然生态系统和主要保护对象的影响评价报告编制服务</w:t>
      </w:r>
      <w:r>
        <w:rPr>
          <w:rFonts w:hint="eastAsia" w:ascii="仿宋" w:hAnsi="仿宋" w:eastAsia="仿宋"/>
          <w:bCs/>
          <w:color w:val="000000"/>
          <w:sz w:val="32"/>
          <w:szCs w:val="32"/>
          <w:lang w:eastAsia="zh-CN"/>
        </w:rPr>
        <w:t>、大弯腰树水电站110千伏送出工程建设使用林地、草地可行性报告编制服务项目、会东县造林绿化空间调查评估</w:t>
      </w:r>
      <w:r>
        <w:rPr>
          <w:rFonts w:hint="eastAsia" w:ascii="仿宋" w:hAnsi="仿宋" w:eastAsia="仿宋"/>
          <w:bCs/>
          <w:color w:val="000000"/>
          <w:sz w:val="32"/>
          <w:szCs w:val="32"/>
          <w:lang w:val="en-US" w:eastAsia="zh-CN"/>
        </w:rPr>
        <w:t>等项目</w:t>
      </w:r>
      <w:r>
        <w:rPr>
          <w:rFonts w:hint="eastAsia" w:ascii="仿宋_GB2312" w:eastAsia="仿宋_GB2312"/>
          <w:color w:val="auto"/>
          <w:sz w:val="32"/>
          <w:szCs w:val="32"/>
          <w:highlight w:val="none"/>
          <w:lang w:val="en-US" w:eastAsia="zh-CN"/>
        </w:rPr>
        <w:t>业务洽谈等费用</w:t>
      </w:r>
      <w:r>
        <w:rPr>
          <w:rFonts w:hint="eastAsia" w:ascii="仿宋_GB2312" w:eastAsia="仿宋_GB2312"/>
          <w:color w:val="auto"/>
          <w:sz w:val="32"/>
          <w:szCs w:val="32"/>
          <w:highlight w:val="none"/>
        </w:rPr>
        <w:t>。</w:t>
      </w:r>
    </w:p>
    <w:p>
      <w:pPr>
        <w:spacing w:line="600" w:lineRule="exact"/>
        <w:ind w:firstLine="640"/>
        <w:outlineLvl w:val="1"/>
        <w:rPr>
          <w:rFonts w:ascii="黑体" w:eastAsia="黑体"/>
          <w:color w:val="auto"/>
          <w:sz w:val="32"/>
          <w:szCs w:val="32"/>
          <w:highlight w:val="none"/>
        </w:rPr>
      </w:pPr>
      <w:bookmarkStart w:id="44" w:name="_Toc15396610"/>
      <w:bookmarkStart w:id="45"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4"/>
      <w:bookmarkEnd w:id="45"/>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我单位无此类支出</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6"/>
          <w:rFonts w:ascii="黑体" w:hAnsi="黑体" w:eastAsia="黑体"/>
          <w:b w:val="0"/>
          <w:color w:val="auto"/>
          <w:highlight w:val="none"/>
        </w:rPr>
      </w:pPr>
      <w:bookmarkStart w:id="46" w:name="_Toc15377219"/>
      <w:bookmarkStart w:id="47" w:name="_Toc15396611"/>
      <w:r>
        <w:rPr>
          <w:rStyle w:val="26"/>
          <w:rFonts w:hint="eastAsia" w:ascii="黑体" w:hAnsi="黑体" w:eastAsia="黑体"/>
          <w:b w:val="0"/>
          <w:color w:val="auto"/>
          <w:highlight w:val="none"/>
        </w:rPr>
        <w:t>国有资本经营预算支出决算情况说明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单位无此类支出</w:t>
      </w:r>
      <w:r>
        <w:rPr>
          <w:rFonts w:hint="eastAsia" w:ascii="仿宋_GB2312" w:eastAsia="仿宋_GB2312"/>
          <w:color w:val="auto"/>
          <w:sz w:val="32"/>
          <w:szCs w:val="32"/>
          <w:highlight w:val="none"/>
        </w:rPr>
        <w:t>。</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6"/>
          <w:rFonts w:hint="eastAsia" w:ascii="黑体" w:hAnsi="黑体" w:eastAsia="黑体"/>
          <w:b w:val="0"/>
          <w:color w:val="auto"/>
          <w:highlight w:val="none"/>
        </w:rPr>
      </w:pPr>
      <w:bookmarkStart w:id="48" w:name="_Toc15396612"/>
      <w:bookmarkStart w:id="49" w:name="_Toc15377221"/>
      <w:r>
        <w:rPr>
          <w:rStyle w:val="26"/>
          <w:rFonts w:hint="eastAsia" w:ascii="黑体" w:hAnsi="黑体" w:eastAsia="黑体"/>
          <w:b w:val="0"/>
          <w:color w:val="auto"/>
          <w:highlight w:val="none"/>
        </w:rPr>
        <w:t>其他重要事项的情况说明</w:t>
      </w:r>
      <w:bookmarkEnd w:id="48"/>
      <w:bookmarkEnd w:id="49"/>
    </w:p>
    <w:p>
      <w:pPr>
        <w:spacing w:line="600" w:lineRule="exact"/>
        <w:ind w:firstLine="643" w:firstLineChars="200"/>
        <w:outlineLvl w:val="2"/>
        <w:rPr>
          <w:rFonts w:ascii="仿宋" w:hAnsi="仿宋" w:eastAsia="仿宋"/>
          <w:color w:val="auto"/>
          <w:sz w:val="32"/>
          <w:szCs w:val="32"/>
          <w:highlight w:val="none"/>
        </w:rPr>
      </w:pPr>
      <w:bookmarkStart w:id="50" w:name="_Toc15377222"/>
      <w:r>
        <w:rPr>
          <w:rFonts w:hint="eastAsia" w:ascii="仿宋" w:hAnsi="仿宋" w:eastAsia="仿宋"/>
          <w:b/>
          <w:color w:val="auto"/>
          <w:sz w:val="32"/>
          <w:szCs w:val="32"/>
          <w:highlight w:val="none"/>
        </w:rPr>
        <w:t>（一）机关运行经费支出情况</w:t>
      </w:r>
      <w:bookmarkEnd w:id="50"/>
    </w:p>
    <w:p>
      <w:pPr>
        <w:spacing w:line="600" w:lineRule="exact"/>
        <w:ind w:firstLine="640" w:firstLineChars="200"/>
        <w:rPr>
          <w:rFonts w:hint="default" w:ascii="仿宋" w:hAnsi="仿宋" w:eastAsia="仿宋"/>
          <w:b/>
          <w:color w:val="auto"/>
          <w:sz w:val="32"/>
          <w:szCs w:val="32"/>
          <w:highlight w:val="none"/>
          <w:lang w:val="en-US" w:eastAsia="zh-CN"/>
        </w:rPr>
      </w:pPr>
      <w:r>
        <w:rPr>
          <w:rFonts w:hint="eastAsia" w:ascii="仿宋_GB2312" w:eastAsia="仿宋_GB2312"/>
          <w:color w:val="auto"/>
          <w:sz w:val="32"/>
          <w:szCs w:val="32"/>
          <w:highlight w:val="none"/>
          <w:lang w:val="en-US" w:eastAsia="zh-CN"/>
        </w:rPr>
        <w:t>我单位为差额拨款的事业单位，财政未拨付机关运行经费，我单位公用经费及30%的工资绩效从项目收入中弥补。</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1" w:name="_Toc15377223"/>
      <w:r>
        <w:rPr>
          <w:rFonts w:hint="eastAsia" w:ascii="仿宋" w:hAnsi="仿宋" w:eastAsia="仿宋"/>
          <w:b/>
          <w:color w:val="auto"/>
          <w:sz w:val="32"/>
          <w:szCs w:val="32"/>
          <w:highlight w:val="none"/>
        </w:rPr>
        <w:t>（二）政府采购支出情况</w:t>
      </w:r>
      <w:bookmarkEnd w:id="5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公务用车采购</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2" w:name="_Toc15377224"/>
      <w:r>
        <w:rPr>
          <w:rFonts w:hint="eastAsia" w:ascii="仿宋" w:hAnsi="仿宋" w:eastAsia="仿宋"/>
          <w:b/>
          <w:color w:val="auto"/>
          <w:sz w:val="32"/>
          <w:szCs w:val="32"/>
          <w:highlight w:val="none"/>
        </w:rPr>
        <w:t>（三）国有资产占有使用情况</w:t>
      </w:r>
      <w:bookmarkEnd w:id="52"/>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val="en-US" w:eastAsia="zh-CN"/>
        </w:rPr>
        <w:t>单位野外活动用车及行政出差用车；还有4辆已经报废公务用车报废手续已经全部履行完整，但在固定资产管理系统中还未下账</w:t>
      </w:r>
      <w:r>
        <w:rPr>
          <w:rFonts w:hint="eastAsia" w:ascii="仿宋_GB2312" w:eastAsia="仿宋_GB2312"/>
          <w:color w:val="auto"/>
          <w:sz w:val="32"/>
          <w:szCs w:val="32"/>
          <w:highlight w:val="none"/>
          <w:lang w:eastAsia="zh-CN"/>
        </w:rPr>
        <w:t>。</w:t>
      </w:r>
    </w:p>
    <w:p>
      <w:pPr>
        <w:numPr>
          <w:ilvl w:val="0"/>
          <w:numId w:val="5"/>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项目支出开展了预算事前绩效评估，对总体项目编制了绩效目标，预算执行过程中，选取项目支出开展绩效监控，年终执行完毕后，对项目开展了绩效目标完成情况梳理填报。</w:t>
      </w:r>
    </w:p>
    <w:p>
      <w:pPr>
        <w:widowControl/>
        <w:adjustRightInd w:val="0"/>
        <w:snapToGrid w:val="0"/>
        <w:spacing w:line="500" w:lineRule="exact"/>
        <w:ind w:firstLine="640" w:firstLineChars="200"/>
        <w:contextualSpacing/>
        <w:jc w:val="left"/>
        <w:rPr>
          <w:rFonts w:hint="eastAsia" w:ascii="仿宋" w:hAnsi="仿宋" w:eastAsia="仿宋" w:cs="仿宋"/>
          <w:sz w:val="32"/>
          <w:szCs w:val="32"/>
        </w:rPr>
      </w:pPr>
      <w:r>
        <w:rPr>
          <w:rFonts w:hint="eastAsia" w:ascii="仿宋_GB2312" w:hAnsi="仿宋_GB2312" w:eastAsia="仿宋_GB2312" w:cs="仿宋_GB2312"/>
          <w:sz w:val="32"/>
          <w:szCs w:val="32"/>
        </w:rPr>
        <w:t>按要求对202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年部门整体支出开展绩效自评，单位收入完成情况较好，预算收入</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万元，实际完成非税收入</w:t>
      </w:r>
      <w:r>
        <w:rPr>
          <w:rFonts w:hint="eastAsia" w:ascii="仿宋_GB2312" w:hAnsi="仿宋_GB2312" w:eastAsia="仿宋_GB2312" w:cs="仿宋_GB2312"/>
          <w:sz w:val="32"/>
          <w:szCs w:val="32"/>
          <w:lang w:val="en-US" w:eastAsia="zh-CN"/>
        </w:rPr>
        <w:t>1695.85</w:t>
      </w:r>
      <w:r>
        <w:rPr>
          <w:rFonts w:hint="eastAsia" w:ascii="仿宋_GB2312" w:hAnsi="仿宋_GB2312" w:eastAsia="仿宋_GB2312" w:cs="仿宋_GB2312"/>
          <w:sz w:val="32"/>
          <w:szCs w:val="32"/>
        </w:rPr>
        <w:t>万元，超额完成目标任务。项目支出预算完成情况良好，较好完成</w:t>
      </w:r>
      <w:r>
        <w:rPr>
          <w:rFonts w:hint="eastAsia" w:ascii="仿宋_GB2312" w:hAnsi="仿宋_GB2312" w:eastAsia="仿宋_GB2312" w:cs="仿宋_GB2312"/>
          <w:sz w:val="32"/>
          <w:szCs w:val="32"/>
          <w:lang w:val="en-US" w:eastAsia="zh-CN"/>
        </w:rPr>
        <w:t>支出预算</w:t>
      </w:r>
      <w:r>
        <w:rPr>
          <w:rFonts w:hint="eastAsia" w:ascii="仿宋_GB2312" w:hAnsi="仿宋_GB2312" w:eastAsia="仿宋_GB2312" w:cs="仿宋_GB2312"/>
          <w:sz w:val="32"/>
          <w:szCs w:val="32"/>
        </w:rPr>
        <w:t>。本部门还自行组织了项目绩效评价，从评价情况来看较好完成项目绩效</w:t>
      </w:r>
      <w:r>
        <w:rPr>
          <w:rFonts w:hint="eastAsia" w:ascii="仿宋_GB2312" w:hAnsi="仿宋_GB2312" w:eastAsia="仿宋_GB2312" w:cs="仿宋_GB2312"/>
          <w:sz w:val="32"/>
          <w:szCs w:val="32"/>
          <w:lang w:val="en-US" w:eastAsia="zh-CN"/>
        </w:rPr>
        <w:t>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凉山州林业调查规划设计院部门整体支出绩效完成情况良好。数量指标、质量指标、时效指标、经济效益指标、社会效益指标、可持续影响指标、满意度指标均达到预期指标值。完成合同数量大于25个，合同优秀率大于80%，合同按期完成率100%。非税收入完成情况良好，实现超收。上级主管局和服务对象满意度大于90%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财政拨款不足部分，包括人员经费的30%差额部分和全部公用经费，均由我院参与林业调查规划设计市场竞争，开展生产经营活动取得收入弥补。因此，凉山州202</w:t>
      </w:r>
      <w:r>
        <w:rPr>
          <w:rFonts w:hint="eastAsia" w:ascii="仿宋" w:hAnsi="仿宋" w:eastAsia="仿宋" w:cs="仿宋"/>
          <w:sz w:val="32"/>
          <w:szCs w:val="32"/>
          <w:lang w:val="en-US" w:eastAsia="zh-CN"/>
        </w:rPr>
        <w:t>2</w:t>
      </w:r>
      <w:r>
        <w:rPr>
          <w:rFonts w:hint="eastAsia" w:ascii="仿宋" w:hAnsi="仿宋" w:eastAsia="仿宋" w:cs="仿宋"/>
          <w:sz w:val="32"/>
          <w:szCs w:val="32"/>
        </w:rPr>
        <w:t>年部门整体支出绩效评价指标体系中的很多考核指标不适用我单位。我院非税收入全部上缴财政，同时财政又全额返还我院用于弥补人员经费不足和单位事业发展的各类支出。我院的非税收入具有不确定性，每年产生的收入，我院不能一次性全部用完；若次年我院非税收入减少，将会使用</w:t>
      </w:r>
      <w:r>
        <w:rPr>
          <w:rFonts w:hint="eastAsia" w:ascii="仿宋" w:hAnsi="仿宋" w:eastAsia="仿宋" w:cs="仿宋"/>
          <w:sz w:val="32"/>
          <w:szCs w:val="32"/>
          <w:lang w:val="en-US" w:eastAsia="zh-CN"/>
        </w:rPr>
        <w:t>上年结转资金</w:t>
      </w:r>
      <w:r>
        <w:rPr>
          <w:rFonts w:hint="eastAsia" w:ascii="仿宋" w:hAnsi="仿宋" w:eastAsia="仿宋" w:cs="仿宋"/>
          <w:sz w:val="32"/>
          <w:szCs w:val="32"/>
        </w:rPr>
        <w:t>来弥补。</w:t>
      </w:r>
    </w:p>
    <w:p>
      <w:pPr>
        <w:numPr>
          <w:ilvl w:val="0"/>
          <w:numId w:val="6"/>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绩效</w:t>
      </w:r>
      <w:r>
        <w:rPr>
          <w:rFonts w:hint="eastAsia" w:ascii="仿宋" w:hAnsi="仿宋" w:eastAsia="仿宋" w:cs="楷体_GB2312"/>
          <w:b/>
          <w:bCs/>
          <w:sz w:val="32"/>
          <w:szCs w:val="32"/>
        </w:rPr>
        <w:t>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年度部门决算中项目绩效目标实际完成情况。</w:t>
      </w:r>
    </w:p>
    <w:p>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项目绩效目标完成情况综述。项目全年预算收入数</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1695.85</w:t>
      </w:r>
      <w:r>
        <w:rPr>
          <w:rFonts w:hint="eastAsia" w:ascii="仿宋_GB2312" w:hAnsi="仿宋_GB2312" w:eastAsia="仿宋_GB2312" w:cs="仿宋_GB2312"/>
          <w:sz w:val="32"/>
          <w:szCs w:val="32"/>
        </w:rPr>
        <w:t>万元，完成预算的100%。项目支出</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rPr>
        <w:t>数为</w:t>
      </w:r>
      <w:r>
        <w:rPr>
          <w:rFonts w:hint="eastAsia" w:ascii="仿宋_GB2312" w:hAnsi="仿宋_GB2312" w:eastAsia="仿宋_GB2312" w:cs="仿宋_GB2312"/>
          <w:sz w:val="32"/>
          <w:szCs w:val="32"/>
          <w:lang w:val="en-US" w:eastAsia="zh-CN"/>
        </w:rPr>
        <w:t>423.5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1058.98</w:t>
      </w:r>
      <w:r>
        <w:rPr>
          <w:rFonts w:hint="eastAsia" w:ascii="仿宋_GB2312" w:hAnsi="仿宋_GB2312" w:eastAsia="仿宋_GB2312" w:cs="仿宋_GB2312"/>
          <w:sz w:val="32"/>
          <w:szCs w:val="32"/>
        </w:rPr>
        <w:t>万元。通过项目实施，保障单位职工30%部分基本工资及单位日常运转，发现的主要问题：单位预算执行目标</w:t>
      </w:r>
      <w:r>
        <w:rPr>
          <w:rFonts w:hint="eastAsia" w:ascii="仿宋_GB2312" w:hAnsi="仿宋_GB2312" w:eastAsia="仿宋_GB2312" w:cs="仿宋_GB2312"/>
          <w:sz w:val="32"/>
          <w:szCs w:val="32"/>
          <w:lang w:val="en-US" w:eastAsia="zh-CN"/>
        </w:rPr>
        <w:t>进度</w:t>
      </w:r>
      <w:r>
        <w:rPr>
          <w:rFonts w:hint="eastAsia" w:ascii="仿宋_GB2312" w:hAnsi="仿宋_GB2312" w:eastAsia="仿宋_GB2312" w:cs="仿宋_GB2312"/>
          <w:sz w:val="32"/>
          <w:szCs w:val="32"/>
        </w:rPr>
        <w:t>较缓慢，</w:t>
      </w:r>
      <w:r>
        <w:rPr>
          <w:rFonts w:hint="eastAsia" w:ascii="仿宋_GB2312" w:hAnsi="仿宋_GB2312" w:eastAsia="仿宋_GB2312" w:cs="仿宋_GB2312"/>
          <w:sz w:val="32"/>
          <w:szCs w:val="32"/>
          <w:lang w:val="en-US" w:eastAsia="zh-CN"/>
        </w:rPr>
        <w:t>上年结转资金占比较大，优先支付上年结转资金</w:t>
      </w:r>
      <w:r>
        <w:rPr>
          <w:rFonts w:hint="eastAsia" w:ascii="仿宋_GB2312" w:hAnsi="仿宋_GB2312" w:eastAsia="仿宋_GB2312" w:cs="仿宋_GB2312"/>
          <w:sz w:val="32"/>
          <w:szCs w:val="32"/>
        </w:rPr>
        <w:t>。下一步改进措施：加强对预算的科学性合理性监管，在日常工作中加强对预算指标执行情况的监管。</w:t>
      </w:r>
    </w:p>
    <w:p>
      <w:pPr>
        <w:pStyle w:val="31"/>
        <w:spacing w:line="580" w:lineRule="exact"/>
        <w:ind w:left="420" w:leftChars="200" w:firstLine="0" w:firstLineChars="0"/>
        <w:rPr>
          <w:rStyle w:val="32"/>
          <w:rFonts w:ascii="黑体" w:hAnsi="黑体" w:eastAsia="黑体"/>
          <w:b w:val="0"/>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2</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其他林业和草原支出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凉山州林业调查规划设计院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423.5万元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1058.98万元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423.5万元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1058.98万元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当年财政预算项目支出</w:t>
            </w:r>
            <w:r>
              <w:rPr>
                <w:rFonts w:hint="eastAsia" w:ascii="宋体" w:hAnsi="宋体" w:cs="宋体"/>
                <w:color w:val="000000"/>
                <w:sz w:val="24"/>
                <w:lang w:val="en-US" w:eastAsia="zh-CN"/>
              </w:rPr>
              <w:t>423.52</w:t>
            </w:r>
            <w:r>
              <w:rPr>
                <w:rFonts w:hint="eastAsia" w:ascii="宋体" w:hAnsi="宋体" w:cs="宋体"/>
                <w:color w:val="000000"/>
                <w:sz w:val="24"/>
              </w:rPr>
              <w:t>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实际当年决算项目支出</w:t>
            </w:r>
            <w:r>
              <w:rPr>
                <w:rFonts w:hint="eastAsia" w:ascii="宋体" w:hAnsi="宋体" w:cs="宋体"/>
                <w:color w:val="000000"/>
                <w:sz w:val="24"/>
                <w:lang w:val="en-US" w:eastAsia="zh-CN"/>
              </w:rPr>
              <w:t>1058.98</w:t>
            </w:r>
            <w:r>
              <w:rPr>
                <w:rFonts w:hint="eastAsia" w:ascii="宋体" w:hAnsi="宋体" w:cs="宋体"/>
                <w:color w:val="000000"/>
                <w:sz w:val="24"/>
              </w:rPr>
              <w:t>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当年财政预算项目支出</w:t>
            </w:r>
            <w:r>
              <w:rPr>
                <w:rFonts w:hint="eastAsia" w:ascii="宋体" w:hAnsi="宋体" w:cs="宋体"/>
                <w:color w:val="000000"/>
                <w:sz w:val="24"/>
                <w:lang w:val="en-US" w:eastAsia="zh-CN"/>
              </w:rPr>
              <w:t>423.5万元</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实际当年决算项目支出</w:t>
            </w:r>
            <w:r>
              <w:rPr>
                <w:rFonts w:hint="eastAsia" w:ascii="宋体" w:hAnsi="宋体" w:cs="宋体"/>
                <w:color w:val="000000"/>
                <w:sz w:val="24"/>
                <w:lang w:val="en-US" w:eastAsia="zh-CN"/>
              </w:rPr>
              <w:t>1058.98</w:t>
            </w:r>
            <w:r>
              <w:rPr>
                <w:rFonts w:hint="eastAsia" w:ascii="宋体" w:hAnsi="宋体" w:cs="宋体"/>
                <w:color w:val="000000"/>
                <w:sz w:val="24"/>
              </w:rPr>
              <w:t>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良好</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较好</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良好</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6"/>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年部门整体支出绩效评价情况开展自评，《凉山州林业调查规划设计院202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本单位自行组织对其他林业从业支出项目开展了绩效评价，《凉山州林业调查规划设计院202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年绩效评价报告》见附件。</w:t>
      </w:r>
    </w:p>
    <w:p>
      <w:pPr>
        <w:numPr>
          <w:ilvl w:val="0"/>
          <w:numId w:val="0"/>
        </w:numPr>
        <w:autoSpaceDE w:val="0"/>
        <w:autoSpaceDN w:val="0"/>
        <w:adjustRightInd w:val="0"/>
        <w:spacing w:line="600" w:lineRule="exact"/>
        <w:jc w:val="left"/>
        <w:outlineLvl w:val="2"/>
        <w:rPr>
          <w:rFonts w:hint="eastAsia" w:ascii="仿宋" w:hAnsi="仿宋" w:eastAsia="仿宋"/>
          <w:b/>
          <w:color w:val="auto"/>
          <w:sz w:val="32"/>
          <w:szCs w:val="32"/>
          <w:highlight w:val="none"/>
          <w:lang w:eastAsia="zh-CN"/>
        </w:rPr>
      </w:pPr>
    </w:p>
    <w:p>
      <w:pPr>
        <w:numPr>
          <w:ilvl w:val="0"/>
          <w:numId w:val="7"/>
        </w:numPr>
        <w:spacing w:line="600" w:lineRule="exact"/>
        <w:ind w:firstLine="660" w:firstLineChars="150"/>
        <w:jc w:val="center"/>
        <w:outlineLvl w:val="0"/>
        <w:rPr>
          <w:rStyle w:val="25"/>
          <w:rFonts w:ascii="黑体" w:hAnsi="黑体" w:eastAsia="黑体"/>
          <w:b w:val="0"/>
          <w:color w:val="auto"/>
          <w:highlight w:val="none"/>
        </w:rPr>
      </w:pPr>
      <w:bookmarkStart w:id="53" w:name="_Toc15377225"/>
      <w:bookmarkStart w:id="54"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3"/>
      <w:bookmarkEnd w:id="54"/>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r>
        <w:rPr>
          <w:rFonts w:hint="eastAsia" w:ascii="仿宋_GB2312" w:eastAsia="仿宋_GB2312"/>
          <w:color w:val="auto"/>
          <w:sz w:val="32"/>
          <w:szCs w:val="32"/>
          <w:highlight w:val="none"/>
          <w:lang w:val="en-US" w:eastAsia="zh-CN"/>
        </w:rPr>
        <w:t>政府提供一般公共服务的支出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社会保障和就业（类）…（款）…（项）：</w:t>
      </w:r>
      <w:r>
        <w:rPr>
          <w:rFonts w:hint="eastAsia" w:ascii="仿宋_GB2312" w:eastAsia="仿宋_GB2312"/>
          <w:color w:val="auto"/>
          <w:sz w:val="32"/>
          <w:szCs w:val="32"/>
          <w:highlight w:val="none"/>
          <w:lang w:val="en-US" w:eastAsia="zh-CN"/>
        </w:rPr>
        <w:t>反映政府在社会保障与就业方面的支出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（类）…（款）…（项）：</w:t>
      </w:r>
      <w:r>
        <w:rPr>
          <w:rFonts w:hint="eastAsia" w:ascii="仿宋_GB2312" w:eastAsia="仿宋_GB2312"/>
          <w:color w:val="auto"/>
          <w:sz w:val="32"/>
          <w:szCs w:val="32"/>
          <w:highlight w:val="none"/>
          <w:lang w:val="en-US" w:eastAsia="zh-CN"/>
        </w:rPr>
        <w:t>反映政府卫生健康方面的支出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农林水（类）…（款）…（项）：</w:t>
      </w:r>
      <w:r>
        <w:rPr>
          <w:rFonts w:hint="eastAsia" w:ascii="仿宋_GB2312" w:eastAsia="仿宋_GB2312"/>
          <w:color w:val="auto"/>
          <w:sz w:val="32"/>
          <w:szCs w:val="32"/>
          <w:highlight w:val="none"/>
          <w:lang w:val="en-US" w:eastAsia="zh-CN"/>
        </w:rPr>
        <w:t>反映政府农林水事务的支出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住房保障（类）…（款）…（项）：</w:t>
      </w:r>
      <w:r>
        <w:rPr>
          <w:rFonts w:hint="eastAsia" w:ascii="仿宋_GB2312" w:eastAsia="仿宋_GB2312"/>
          <w:color w:val="auto"/>
          <w:sz w:val="32"/>
          <w:szCs w:val="32"/>
          <w:highlight w:val="none"/>
          <w:lang w:val="en-US" w:eastAsia="zh-CN"/>
        </w:rPr>
        <w:t>反映政府用于住房方面的支出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color w:val="auto"/>
          <w:highlight w:val="none"/>
        </w:rPr>
      </w:pPr>
      <w:bookmarkStart w:id="55" w:name="_Toc15377226"/>
      <w:r>
        <w:rPr>
          <w:rFonts w:ascii="宋体"/>
          <w:b/>
          <w:color w:val="auto"/>
          <w:sz w:val="44"/>
          <w:szCs w:val="44"/>
          <w:highlight w:val="none"/>
        </w:rPr>
        <w:br w:type="page"/>
      </w:r>
      <w:bookmarkStart w:id="56"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6"/>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pPr>
        <w:widowControl/>
        <w:snapToGrid w:val="0"/>
        <w:spacing w:line="500" w:lineRule="exact"/>
        <w:contextualSpacing/>
        <w:rPr>
          <w:rFonts w:ascii="宋体" w:hAnsi="宋体" w:eastAsia="宋体"/>
          <w:b/>
          <w:sz w:val="44"/>
          <w:szCs w:val="44"/>
          <w:shd w:val="clear" w:color="auto" w:fill="FFFFFF"/>
        </w:rPr>
      </w:pPr>
      <w:bookmarkStart w:id="57" w:name="_Toc15396618"/>
    </w:p>
    <w:p>
      <w:pPr>
        <w:widowControl/>
        <w:adjustRightInd w:val="0"/>
        <w:snapToGrid w:val="0"/>
        <w:spacing w:line="500" w:lineRule="exact"/>
        <w:ind w:firstLine="880" w:firstLineChars="200"/>
        <w:contextualSpacing/>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lang w:val="en-US" w:eastAsia="zh-CN"/>
        </w:rPr>
        <w:t>凉山州林业调查规划设计院</w:t>
      </w:r>
      <w:r>
        <w:rPr>
          <w:rFonts w:hint="eastAsia" w:ascii="方正小标宋简体" w:hAnsi="宋体" w:eastAsia="方正小标宋简体"/>
          <w:sz w:val="44"/>
          <w:szCs w:val="44"/>
          <w:shd w:val="clear" w:color="auto" w:fill="FFFFFF"/>
        </w:rPr>
        <w:t>整体支出绩效评价报告</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en-US" w:eastAsia="zh-CN" w:bidi="ar-SA"/>
        </w:rPr>
        <w:t>一、</w:t>
      </w:r>
      <w:r>
        <w:rPr>
          <w:rFonts w:hint="eastAsia" w:ascii="仿宋_GB2312" w:hAnsi="Calibri" w:eastAsia="仿宋_GB2312" w:cs="仿宋"/>
          <w:color w:val="auto"/>
          <w:kern w:val="0"/>
          <w:sz w:val="32"/>
          <w:szCs w:val="32"/>
          <w:highlight w:val="none"/>
          <w:lang w:val="zh-CN" w:eastAsia="zh-CN" w:bidi="ar-SA"/>
        </w:rPr>
        <w:t>单位概况</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（一）机构组成</w:t>
      </w:r>
    </w:p>
    <w:p>
      <w:pPr>
        <w:numPr>
          <w:ilvl w:val="0"/>
          <w:numId w:val="0"/>
        </w:numPr>
        <w:spacing w:line="600" w:lineRule="exact"/>
        <w:ind w:firstLine="640" w:firstLineChars="200"/>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en-US" w:eastAsia="zh-CN" w:bidi="ar-SA"/>
        </w:rPr>
        <w:t>我单位是独立核算的财政差额拨款事业单位，隶属凉山州林业草原局一级预算单位，无下属单位。内设行政办公室、生产经营处、财务室、林业测绘所、总工办、林业规划所等科室。</w:t>
      </w:r>
    </w:p>
    <w:p>
      <w:pPr>
        <w:widowControl/>
        <w:numPr>
          <w:ilvl w:val="0"/>
          <w:numId w:val="8"/>
        </w:numPr>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机构职能</w:t>
      </w:r>
    </w:p>
    <w:p>
      <w:pPr>
        <w:keepNext w:val="0"/>
        <w:keepLines w:val="0"/>
        <w:widowControl/>
        <w:suppressLineNumbers w:val="0"/>
        <w:shd w:val="clear" w:color="auto" w:fill="FFFFFF"/>
        <w:ind w:left="0" w:firstLine="960" w:firstLineChars="300"/>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w:t>
      </w:r>
      <w:r>
        <w:rPr>
          <w:rFonts w:hint="default" w:ascii="仿宋_GB2312" w:hAnsi="Calibri" w:eastAsia="仿宋_GB2312" w:cs="仿宋"/>
          <w:color w:val="auto"/>
          <w:kern w:val="0"/>
          <w:sz w:val="32"/>
          <w:szCs w:val="32"/>
          <w:highlight w:val="none"/>
          <w:lang w:val="en-US" w:eastAsia="zh-CN" w:bidi="ar-SA"/>
        </w:rPr>
        <w:t>以各类林业工程的调查规划设计为主，同时从事测量测绘、土地利用现状调查、国家农林行业重点工程的规划设计和检查验收等。工作地区由西北的白龙江林区到西南及四川各地、市、州。近年来，主要在四川省甘孜、阿坝、凉山3州、攀枝花、乐山、眉山、泸州4市和福建省、重庆市等地，面向全国开展林业调查规划设计工作，形成的各类调查规划设计成果</w:t>
      </w:r>
      <w:r>
        <w:rPr>
          <w:rFonts w:hint="eastAsia" w:ascii="仿宋_GB2312" w:hAnsi="Calibri" w:eastAsia="仿宋_GB2312" w:cs="仿宋"/>
          <w:color w:val="auto"/>
          <w:kern w:val="0"/>
          <w:sz w:val="32"/>
          <w:szCs w:val="32"/>
          <w:highlight w:val="none"/>
          <w:lang w:val="en-US" w:eastAsia="zh-CN" w:bidi="ar-SA"/>
        </w:rPr>
        <w:t>。</w:t>
      </w:r>
    </w:p>
    <w:p>
      <w:pPr>
        <w:keepNext w:val="0"/>
        <w:keepLines w:val="0"/>
        <w:widowControl/>
        <w:suppressLineNumbers w:val="0"/>
        <w:shd w:val="clear" w:color="auto" w:fill="FFFFFF"/>
        <w:ind w:left="0" w:firstLine="0"/>
        <w:jc w:val="left"/>
        <w:rPr>
          <w:rFonts w:hint="default" w:ascii="仿宋_GB2312" w:hAnsi="Calibri" w:eastAsia="仿宋_GB2312" w:cs="仿宋"/>
          <w:color w:val="auto"/>
          <w:kern w:val="0"/>
          <w:sz w:val="32"/>
          <w:szCs w:val="32"/>
          <w:highlight w:val="none"/>
          <w:lang w:val="en-US" w:eastAsia="zh-CN" w:bidi="ar-SA"/>
        </w:rPr>
      </w:pPr>
      <w:r>
        <w:rPr>
          <w:rFonts w:hint="default" w:ascii="仿宋_GB2312" w:hAnsi="Calibri" w:eastAsia="仿宋_GB2312" w:cs="仿宋"/>
          <w:color w:val="auto"/>
          <w:kern w:val="0"/>
          <w:sz w:val="32"/>
          <w:szCs w:val="32"/>
          <w:highlight w:val="none"/>
          <w:lang w:val="en-US" w:eastAsia="zh-CN" w:bidi="ar-SA"/>
        </w:rPr>
        <w:t>    我</w:t>
      </w:r>
      <w:r>
        <w:rPr>
          <w:rFonts w:hint="eastAsia" w:ascii="仿宋_GB2312" w:hAnsi="Calibri" w:eastAsia="仿宋_GB2312" w:cs="仿宋"/>
          <w:color w:val="auto"/>
          <w:kern w:val="0"/>
          <w:sz w:val="32"/>
          <w:szCs w:val="32"/>
          <w:highlight w:val="none"/>
          <w:lang w:val="en-US" w:eastAsia="zh-CN" w:bidi="ar-SA"/>
        </w:rPr>
        <w:t>单位</w:t>
      </w:r>
      <w:r>
        <w:rPr>
          <w:rFonts w:hint="default" w:ascii="仿宋_GB2312" w:hAnsi="Calibri" w:eastAsia="仿宋_GB2312" w:cs="仿宋"/>
          <w:color w:val="auto"/>
          <w:kern w:val="0"/>
          <w:sz w:val="32"/>
          <w:szCs w:val="32"/>
          <w:highlight w:val="none"/>
          <w:lang w:val="en-US" w:eastAsia="zh-CN" w:bidi="ar-SA"/>
        </w:rPr>
        <w:t>技术力量雄厚、专业配套、设备齐全、机构健全、管理规范。合作单位及下属企业涵盖林业、建筑、测绘、园林绿化、工程咨询、监理、施工等。</w:t>
      </w:r>
      <w:r>
        <w:rPr>
          <w:rFonts w:hint="eastAsia" w:ascii="仿宋_GB2312" w:hAnsi="Calibri" w:eastAsia="仿宋_GB2312" w:cs="仿宋"/>
          <w:color w:val="auto"/>
          <w:kern w:val="0"/>
          <w:sz w:val="32"/>
          <w:szCs w:val="32"/>
          <w:highlight w:val="none"/>
          <w:lang w:val="en-US" w:eastAsia="zh-CN" w:bidi="ar-SA"/>
        </w:rPr>
        <w:t>同时，我单位</w:t>
      </w:r>
      <w:r>
        <w:rPr>
          <w:rFonts w:hint="default" w:ascii="仿宋_GB2312" w:hAnsi="Calibri" w:eastAsia="仿宋_GB2312" w:cs="仿宋"/>
          <w:color w:val="auto"/>
          <w:kern w:val="0"/>
          <w:sz w:val="32"/>
          <w:szCs w:val="32"/>
          <w:highlight w:val="none"/>
          <w:lang w:val="en-US" w:eastAsia="zh-CN" w:bidi="ar-SA"/>
        </w:rPr>
        <w:t>根据新时期林业建设及发展特点，建立了森林资源监测中心、林业规划设计、生态工程建设等业务（处、所）室，专业从事国家、省、州级自然保护区，征（占）用林地，城市园林绿化，风景名胜区、森林公园及生态旅游等方面的调查规划设计和工程施工监理等。</w:t>
      </w:r>
    </w:p>
    <w:p>
      <w:pPr>
        <w:widowControl/>
        <w:numPr>
          <w:ilvl w:val="0"/>
          <w:numId w:val="8"/>
        </w:numPr>
        <w:adjustRightInd w:val="0"/>
        <w:snapToGrid w:val="0"/>
        <w:spacing w:line="500" w:lineRule="exact"/>
        <w:ind w:left="0" w:leftChars="0"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zh-CN" w:eastAsia="zh-CN" w:bidi="ar-SA"/>
        </w:rPr>
        <w:t>人员</w:t>
      </w:r>
      <w:r>
        <w:rPr>
          <w:rFonts w:hint="eastAsia" w:ascii="仿宋_GB2312" w:hAnsi="Calibri" w:eastAsia="仿宋_GB2312" w:cs="仿宋"/>
          <w:color w:val="auto"/>
          <w:kern w:val="0"/>
          <w:sz w:val="32"/>
          <w:szCs w:val="32"/>
          <w:highlight w:val="none"/>
          <w:lang w:val="en-US" w:eastAsia="zh-CN" w:bidi="ar-SA"/>
        </w:rPr>
        <w:t>概况</w:t>
      </w:r>
    </w:p>
    <w:p>
      <w:pPr>
        <w:widowControl/>
        <w:numPr>
          <w:ilvl w:val="0"/>
          <w:numId w:val="0"/>
        </w:numPr>
        <w:adjustRightInd w:val="0"/>
        <w:snapToGrid w:val="0"/>
        <w:spacing w:line="500" w:lineRule="exact"/>
        <w:ind w:leftChars="200"/>
        <w:contextualSpacing/>
        <w:jc w:val="left"/>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我单位现有专业技术人员、管理人员，共计99人。</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二、财政资金收支情况</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（一）财政资金收入情况</w:t>
      </w:r>
    </w:p>
    <w:p>
      <w:pPr>
        <w:widowControl/>
        <w:adjustRightInd w:val="0"/>
        <w:snapToGrid w:val="0"/>
        <w:spacing w:line="500" w:lineRule="exact"/>
        <w:ind w:firstLine="640" w:firstLineChars="200"/>
        <w:contextualSpacing/>
        <w:jc w:val="left"/>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2022年我单位取得财政拨款收入3179.5万元。</w:t>
      </w:r>
    </w:p>
    <w:p>
      <w:pPr>
        <w:widowControl/>
        <w:numPr>
          <w:ilvl w:val="0"/>
          <w:numId w:val="8"/>
        </w:numPr>
        <w:adjustRightInd w:val="0"/>
        <w:snapToGrid w:val="0"/>
        <w:spacing w:line="500" w:lineRule="exact"/>
        <w:ind w:left="0" w:leftChars="0"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财政资金支出情况</w:t>
      </w:r>
    </w:p>
    <w:p>
      <w:pPr>
        <w:widowControl/>
        <w:numPr>
          <w:ilvl w:val="0"/>
          <w:numId w:val="0"/>
        </w:numPr>
        <w:adjustRightInd w:val="0"/>
        <w:snapToGrid w:val="0"/>
        <w:spacing w:line="500" w:lineRule="exact"/>
        <w:ind w:left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en-US" w:eastAsia="zh-CN" w:bidi="ar-SA"/>
        </w:rPr>
        <w:t>2022年我单位全年财政资金支出3179.5万元。其中，行政事业养老保险支出464.56万元，卫生健康支出123.55万元，住房保障支出138.38万元，农林水支出2453万元。</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三、整体预算绩效管理情况</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（一）预算项目绩效管理</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en-US" w:eastAsia="zh-CN" w:bidi="ar-SA"/>
        </w:rPr>
        <w:t>2022年度部门整体支出绩效目标，人员基本支出1699.1万元，机关运转项目1绩效目标支出389万，2022年森林资源动态监测25.5万元。2022年目标实现人员基本支出2120.52万元，人员类执行进度良好，完成预算情况良好；项目支出1058.98万元，其中机关运转项目1当年支出303.84万元，支付进度78%，完成预算情况良好。2022年森林资源动态监测24.09万元，支付进度96%，完成预算情况较好。机关运转项目2支出103.69万元，林业作业设计州林业调查费支出615.36万元。资金使用率较高，支出控制良好，无违规记录。</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（二）结果应用情况</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完成各类工资福利支出及公用经费支出，维持单位正常运转。完成全州林业各类设计、调查、检查合同个数大于25个；完成全州全部17个县市森林资源动态监测。合同优秀率大于80%，合同按期完成率100%。全年完成非税收入1695.85万元，超额完成非税收入任务。在项目实施工程中，聘用当地民工租用车辆等，带动当地村民增加一定收入，从业带动能力较好，经济效益指标完成情况良好。提供良好林业服务基础，提高全州林业服务能力，取得较好社会效益。对全州各县林业状况实地勘查，促进林业可持续发展。上级主管局及服务对象，满意度大于90%，满意度指标完成情况较好。</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en-US" w:eastAsia="zh-CN" w:bidi="ar-SA"/>
        </w:rPr>
        <w:t>部门整体支出绩效完成情况良好。主要存在的问题是预算执行进度较为缓慢，当年预算资金安排效率不高。在2023年工作中，将合理控制单位预算支出进度，提高资金使用效率。</w:t>
      </w:r>
    </w:p>
    <w:p>
      <w:pPr>
        <w:widowControl/>
        <w:numPr>
          <w:ilvl w:val="0"/>
          <w:numId w:val="9"/>
        </w:numPr>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zh-CN" w:eastAsia="zh-CN" w:bidi="ar-SA"/>
        </w:rPr>
        <w:t>自评质量</w:t>
      </w:r>
    </w:p>
    <w:p>
      <w:pPr>
        <w:widowControl/>
        <w:adjustRightInd w:val="0"/>
        <w:snapToGrid w:val="0"/>
        <w:spacing w:line="580" w:lineRule="exact"/>
        <w:ind w:firstLine="631"/>
        <w:contextualSpacing/>
        <w:jc w:val="left"/>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部门整体支出自评情况较为良好，较好完成2022年部门整体支出绩效目标。数量指标、质量指标、时效指标、经济效益指标、社会效益指标、可持续影响指标、满意度指标均达到预期指标值。</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四、评价结论及建议</w:t>
      </w:r>
    </w:p>
    <w:p>
      <w:pPr>
        <w:widowControl/>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（一）评价结论</w:t>
      </w:r>
    </w:p>
    <w:p>
      <w:pPr>
        <w:widowControl/>
        <w:adjustRightInd w:val="0"/>
        <w:snapToGrid w:val="0"/>
        <w:spacing w:line="500" w:lineRule="exact"/>
        <w:ind w:firstLine="640" w:firstLineChars="200"/>
        <w:contextualSpacing/>
        <w:jc w:val="left"/>
        <w:rPr>
          <w:rFonts w:hint="default"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t>2022年凉山州林业调查规划设计院部门整体支出绩效完成情况良好。数量指标、质量指标、时效指标、经济效益指标、社会效益指标、可持续影响指标、满意度指标均达到预期指标值。完成合同数量大于25个，合同优秀率大于80%，合同按期完成率100%。非税收入完成情况良好，实现超收。上级主管局和服务对象满意度大于90%。</w:t>
      </w:r>
    </w:p>
    <w:p>
      <w:pPr>
        <w:widowControl/>
        <w:numPr>
          <w:ilvl w:val="0"/>
          <w:numId w:val="10"/>
        </w:numPr>
        <w:adjustRightInd w:val="0"/>
        <w:snapToGrid w:val="0"/>
        <w:spacing w:line="50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存在问题</w:t>
      </w:r>
    </w:p>
    <w:p>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从整体上看，202</w:t>
      </w:r>
      <w:r>
        <w:rPr>
          <w:rFonts w:hint="eastAsia" w:ascii="仿宋_GB2312" w:hAnsi="Calibri" w:eastAsia="仿宋_GB2312" w:cs="仿宋"/>
          <w:color w:val="auto"/>
          <w:kern w:val="0"/>
          <w:sz w:val="32"/>
          <w:szCs w:val="32"/>
          <w:highlight w:val="none"/>
          <w:lang w:val="en-US" w:eastAsia="zh-CN" w:bidi="ar-SA"/>
        </w:rPr>
        <w:t>2</w:t>
      </w:r>
      <w:r>
        <w:rPr>
          <w:rFonts w:hint="eastAsia" w:ascii="仿宋_GB2312" w:hAnsi="Calibri" w:eastAsia="仿宋_GB2312" w:cs="仿宋"/>
          <w:color w:val="auto"/>
          <w:kern w:val="0"/>
          <w:sz w:val="32"/>
          <w:szCs w:val="32"/>
          <w:highlight w:val="none"/>
          <w:lang w:val="zh-CN" w:eastAsia="zh-CN" w:bidi="ar-SA"/>
        </w:rPr>
        <w:t>年我院资金运行维护决策正确，资金管理规范，项目管理到位，政策执行有力，有效发挥了财政资金的使用效率。人员经费支出严格执行政府的各项制度；在项目经费的使用上，在保证各项任务顺利完成的同时，严格落实厉行节约的原则；三公经费的使用严格控制在预算申报的范围内。我院202</w:t>
      </w:r>
      <w:r>
        <w:rPr>
          <w:rFonts w:hint="eastAsia" w:ascii="仿宋_GB2312" w:hAnsi="Calibri" w:eastAsia="仿宋_GB2312" w:cs="仿宋"/>
          <w:color w:val="auto"/>
          <w:kern w:val="0"/>
          <w:sz w:val="32"/>
          <w:szCs w:val="32"/>
          <w:highlight w:val="none"/>
          <w:lang w:val="en-US" w:eastAsia="zh-CN" w:bidi="ar-SA"/>
        </w:rPr>
        <w:t>2</w:t>
      </w:r>
      <w:r>
        <w:rPr>
          <w:rFonts w:hint="eastAsia" w:ascii="仿宋_GB2312" w:hAnsi="Calibri" w:eastAsia="仿宋_GB2312" w:cs="仿宋"/>
          <w:color w:val="auto"/>
          <w:kern w:val="0"/>
          <w:sz w:val="32"/>
          <w:szCs w:val="32"/>
          <w:highlight w:val="none"/>
          <w:lang w:val="zh-CN" w:eastAsia="zh-CN" w:bidi="ar-SA"/>
        </w:rPr>
        <w:t>年部门整体支出绩效评价得9</w:t>
      </w:r>
      <w:r>
        <w:rPr>
          <w:rFonts w:hint="eastAsia" w:ascii="仿宋_GB2312" w:hAnsi="Calibri" w:eastAsia="仿宋_GB2312" w:cs="仿宋"/>
          <w:color w:val="auto"/>
          <w:kern w:val="0"/>
          <w:sz w:val="32"/>
          <w:szCs w:val="32"/>
          <w:highlight w:val="none"/>
          <w:lang w:val="en-US" w:eastAsia="zh-CN" w:bidi="ar-SA"/>
        </w:rPr>
        <w:t>1</w:t>
      </w:r>
      <w:r>
        <w:rPr>
          <w:rFonts w:hint="eastAsia" w:ascii="仿宋_GB2312" w:hAnsi="Calibri" w:eastAsia="仿宋_GB2312" w:cs="仿宋"/>
          <w:color w:val="auto"/>
          <w:kern w:val="0"/>
          <w:sz w:val="32"/>
          <w:szCs w:val="32"/>
          <w:highlight w:val="none"/>
          <w:lang w:val="zh-CN" w:eastAsia="zh-CN" w:bidi="ar-SA"/>
        </w:rPr>
        <w:t>分。一是预算支出进度有待进一步提高。二是完善管理制度，进一步加强资产管理。三是加强财务人员的业务素质。</w:t>
      </w:r>
    </w:p>
    <w:p>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（三）改进建议。</w:t>
      </w:r>
    </w:p>
    <w:p>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r>
        <w:rPr>
          <w:rFonts w:hint="eastAsia" w:ascii="仿宋_GB2312" w:hAnsi="Calibri" w:eastAsia="仿宋_GB2312" w:cs="仿宋"/>
          <w:color w:val="auto"/>
          <w:kern w:val="0"/>
          <w:sz w:val="32"/>
          <w:szCs w:val="32"/>
          <w:highlight w:val="none"/>
          <w:lang w:val="zh-CN" w:eastAsia="zh-CN" w:bidi="ar-SA"/>
        </w:rPr>
        <w:t>我院为“核定差额拨款事业”编制，凉山州财政局按人员经费（包括工资及福利支出、社会福利和救助、其他对个人和家庭支出）预算总额的70%拨付我院全年总经费，公用经费财政未拨付。财政拨款不足部分，包括人员经费的30%差额部分和全部公用经费，均由我院参与林业调查规划设计市场竞争，开展生产经营活动取得收入弥补。因此，凉山州202</w:t>
      </w:r>
      <w:r>
        <w:rPr>
          <w:rFonts w:hint="eastAsia" w:ascii="仿宋_GB2312" w:hAnsi="Calibri" w:eastAsia="仿宋_GB2312" w:cs="仿宋"/>
          <w:color w:val="auto"/>
          <w:kern w:val="0"/>
          <w:sz w:val="32"/>
          <w:szCs w:val="32"/>
          <w:highlight w:val="none"/>
          <w:lang w:val="en-US" w:eastAsia="zh-CN" w:bidi="ar-SA"/>
        </w:rPr>
        <w:t>2</w:t>
      </w:r>
      <w:bookmarkStart w:id="71" w:name="_GoBack"/>
      <w:bookmarkEnd w:id="71"/>
      <w:r>
        <w:rPr>
          <w:rFonts w:hint="eastAsia" w:ascii="仿宋_GB2312" w:hAnsi="Calibri" w:eastAsia="仿宋_GB2312" w:cs="仿宋"/>
          <w:color w:val="auto"/>
          <w:kern w:val="0"/>
          <w:sz w:val="32"/>
          <w:szCs w:val="32"/>
          <w:highlight w:val="none"/>
          <w:lang w:val="zh-CN" w:eastAsia="zh-CN" w:bidi="ar-SA"/>
        </w:rPr>
        <w:t>年部门整体支出绩效评价指标体系中的很多考核指标不适用我单位。项目支出的费用受市场竞争因素影响较大，而部门预算管理中又要求预算准确、执行率要高，恳请财政对我院进行考核时能够充分考虑到我院的实际情况。</w:t>
      </w:r>
    </w:p>
    <w:p>
      <w:pPr>
        <w:widowControl/>
        <w:adjustRightInd w:val="0"/>
        <w:snapToGrid w:val="0"/>
        <w:spacing w:line="580" w:lineRule="exact"/>
        <w:ind w:firstLine="640" w:firstLineChars="200"/>
        <w:contextualSpacing/>
        <w:jc w:val="left"/>
        <w:rPr>
          <w:rFonts w:hint="eastAsia" w:ascii="仿宋_GB2312" w:hAnsi="Calibri" w:eastAsia="仿宋_GB2312" w:cs="仿宋"/>
          <w:color w:val="auto"/>
          <w:kern w:val="0"/>
          <w:sz w:val="32"/>
          <w:szCs w:val="32"/>
          <w:highlight w:val="none"/>
          <w:lang w:val="zh-CN" w:eastAsia="zh-CN" w:bidi="ar-SA"/>
        </w:rPr>
      </w:pPr>
    </w:p>
    <w:p>
      <w:pPr>
        <w:spacing w:line="580" w:lineRule="exact"/>
        <w:rPr>
          <w:rFonts w:hint="eastAsia" w:ascii="仿宋_GB2312" w:hAnsi="Calibri" w:eastAsia="仿宋_GB2312" w:cs="仿宋"/>
          <w:color w:val="auto"/>
          <w:kern w:val="0"/>
          <w:sz w:val="32"/>
          <w:szCs w:val="32"/>
          <w:highlight w:val="none"/>
          <w:lang w:val="en-US" w:eastAsia="zh-CN" w:bidi="ar-SA"/>
        </w:rPr>
      </w:pPr>
    </w:p>
    <w:p>
      <w:pPr>
        <w:widowControl/>
        <w:numPr>
          <w:ilvl w:val="0"/>
          <w:numId w:val="0"/>
        </w:numPr>
        <w:adjustRightInd w:val="0"/>
        <w:snapToGrid w:val="0"/>
        <w:spacing w:line="500" w:lineRule="exact"/>
        <w:ind w:firstLine="640" w:firstLineChars="200"/>
        <w:contextualSpacing/>
        <w:jc w:val="left"/>
        <w:rPr>
          <w:rFonts w:hint="default" w:ascii="仿宋_GB2312" w:hAnsi="Calibri" w:eastAsia="仿宋_GB2312" w:cs="仿宋"/>
          <w:color w:val="auto"/>
          <w:kern w:val="0"/>
          <w:sz w:val="32"/>
          <w:szCs w:val="32"/>
          <w:highlight w:val="none"/>
          <w:lang w:val="en-US" w:eastAsia="zh-CN" w:bidi="ar-SA"/>
        </w:rPr>
      </w:pPr>
    </w:p>
    <w:p>
      <w:pPr>
        <w:pStyle w:val="5"/>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5"/>
      <w:bookmarkEnd w:id="57"/>
      <w:bookmarkStart w:id="58" w:name="_Toc15396619"/>
    </w:p>
    <w:p>
      <w:pPr>
        <w:pStyle w:val="3"/>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8"/>
    </w:p>
    <w:p>
      <w:pPr>
        <w:pStyle w:val="3"/>
        <w:rPr>
          <w:rFonts w:ascii="仿宋" w:hAnsi="仿宋" w:eastAsia="仿宋"/>
          <w:color w:val="auto"/>
          <w:highlight w:val="none"/>
        </w:rPr>
      </w:pPr>
      <w:bookmarkStart w:id="59"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9"/>
    </w:p>
    <w:p>
      <w:pPr>
        <w:pStyle w:val="3"/>
        <w:rPr>
          <w:rFonts w:ascii="仿宋" w:hAnsi="仿宋" w:eastAsia="仿宋"/>
          <w:color w:val="auto"/>
          <w:highlight w:val="none"/>
        </w:rPr>
      </w:pPr>
      <w:bookmarkStart w:id="60"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0"/>
    </w:p>
    <w:p>
      <w:pPr>
        <w:pStyle w:val="3"/>
        <w:rPr>
          <w:rFonts w:ascii="仿宋" w:hAnsi="仿宋" w:eastAsia="仿宋"/>
          <w:b w:val="0"/>
          <w:color w:val="auto"/>
          <w:highlight w:val="none"/>
        </w:rPr>
      </w:pPr>
      <w:bookmarkStart w:id="61"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1"/>
    </w:p>
    <w:p>
      <w:pPr>
        <w:pStyle w:val="3"/>
        <w:rPr>
          <w:rStyle w:val="26"/>
          <w:rFonts w:ascii="仿宋" w:hAnsi="仿宋" w:eastAsia="仿宋"/>
          <w:b w:val="0"/>
          <w:bCs w:val="0"/>
          <w:color w:val="auto"/>
          <w:highlight w:val="none"/>
        </w:rPr>
      </w:pPr>
      <w:bookmarkStart w:id="62"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2"/>
      <w:bookmarkStart w:id="63" w:name="_Toc15396624"/>
    </w:p>
    <w:p>
      <w:pPr>
        <w:pStyle w:val="3"/>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3"/>
    </w:p>
    <w:p>
      <w:pPr>
        <w:pStyle w:val="3"/>
        <w:rPr>
          <w:rFonts w:ascii="仿宋" w:hAnsi="仿宋" w:eastAsia="仿宋"/>
          <w:color w:val="auto"/>
          <w:highlight w:val="none"/>
        </w:rPr>
      </w:pPr>
      <w:bookmarkStart w:id="64"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4"/>
    </w:p>
    <w:p>
      <w:pPr>
        <w:pStyle w:val="3"/>
        <w:rPr>
          <w:rFonts w:ascii="仿宋" w:hAnsi="仿宋" w:eastAsia="仿宋"/>
          <w:color w:val="auto"/>
          <w:highlight w:val="none"/>
        </w:rPr>
      </w:pPr>
      <w:bookmarkStart w:id="65"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5"/>
    </w:p>
    <w:p>
      <w:pPr>
        <w:pStyle w:val="3"/>
        <w:rPr>
          <w:rFonts w:ascii="仿宋" w:hAnsi="仿宋" w:eastAsia="仿宋"/>
          <w:color w:val="auto"/>
          <w:highlight w:val="none"/>
        </w:rPr>
      </w:pPr>
      <w:bookmarkStart w:id="66"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6"/>
    </w:p>
    <w:p>
      <w:pPr>
        <w:pStyle w:val="3"/>
        <w:rPr>
          <w:rFonts w:ascii="仿宋" w:hAnsi="仿宋" w:eastAsia="仿宋"/>
          <w:color w:val="auto"/>
          <w:highlight w:val="none"/>
        </w:rPr>
      </w:pPr>
      <w:bookmarkStart w:id="67" w:name="_Toc15396628"/>
      <w:r>
        <w:rPr>
          <w:rStyle w:val="26"/>
          <w:rFonts w:hint="eastAsia" w:ascii="仿宋" w:hAnsi="仿宋" w:eastAsia="仿宋"/>
          <w:b w:val="0"/>
          <w:bCs w:val="0"/>
          <w:color w:val="auto"/>
          <w:highlight w:val="none"/>
        </w:rPr>
        <w:t>十、</w:t>
      </w:r>
      <w:bookmarkEnd w:id="67"/>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p>
    <w:p>
      <w:pPr>
        <w:pStyle w:val="3"/>
        <w:rPr>
          <w:rFonts w:ascii="仿宋" w:hAnsi="仿宋" w:eastAsia="仿宋"/>
          <w:color w:val="auto"/>
          <w:highlight w:val="none"/>
        </w:rPr>
      </w:pPr>
      <w:bookmarkStart w:id="68" w:name="_Toc15396629"/>
      <w:r>
        <w:rPr>
          <w:rStyle w:val="26"/>
          <w:rFonts w:hint="eastAsia" w:ascii="仿宋" w:hAnsi="仿宋" w:eastAsia="仿宋"/>
          <w:b w:val="0"/>
          <w:bCs w:val="0"/>
          <w:color w:val="auto"/>
          <w:highlight w:val="none"/>
        </w:rPr>
        <w:t>十一、</w:t>
      </w:r>
      <w:bookmarkEnd w:id="68"/>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p>
    <w:p>
      <w:pPr>
        <w:pStyle w:val="3"/>
        <w:rPr>
          <w:rFonts w:ascii="仿宋" w:hAnsi="仿宋" w:eastAsia="仿宋"/>
          <w:color w:val="auto"/>
          <w:highlight w:val="none"/>
        </w:rPr>
      </w:pPr>
      <w:bookmarkStart w:id="69" w:name="_Toc15396630"/>
      <w:r>
        <w:rPr>
          <w:rStyle w:val="26"/>
          <w:rFonts w:hint="eastAsia" w:ascii="仿宋" w:hAnsi="仿宋" w:eastAsia="仿宋"/>
          <w:b w:val="0"/>
          <w:bCs w:val="0"/>
          <w:color w:val="auto"/>
          <w:highlight w:val="none"/>
        </w:rPr>
        <w:t>十二、</w:t>
      </w:r>
      <w:bookmarkEnd w:id="69"/>
      <w:r>
        <w:rPr>
          <w:rStyle w:val="26"/>
          <w:rFonts w:hint="eastAsia" w:ascii="仿宋" w:hAnsi="仿宋" w:eastAsia="仿宋"/>
          <w:b w:val="0"/>
          <w:bCs w:val="0"/>
          <w:color w:val="auto"/>
          <w:highlight w:val="none"/>
          <w:lang w:eastAsia="zh-CN"/>
        </w:rPr>
        <w:t>国有资本经营预算财政拨款支出决算表</w:t>
      </w:r>
    </w:p>
    <w:p>
      <w:pPr>
        <w:pStyle w:val="3"/>
        <w:rPr>
          <w:rFonts w:hint="eastAsia" w:eastAsia="仿宋"/>
          <w:color w:val="auto"/>
          <w:highlight w:val="none"/>
          <w:lang w:eastAsia="zh-CN"/>
        </w:rPr>
      </w:pPr>
      <w:bookmarkStart w:id="70" w:name="_Toc15396631"/>
      <w:r>
        <w:rPr>
          <w:rStyle w:val="26"/>
          <w:rFonts w:hint="eastAsia" w:ascii="仿宋" w:hAnsi="仿宋" w:eastAsia="仿宋"/>
          <w:b w:val="0"/>
          <w:bCs w:val="0"/>
          <w:color w:val="auto"/>
          <w:highlight w:val="none"/>
        </w:rPr>
        <w:t>十三、</w:t>
      </w:r>
      <w:bookmarkEnd w:id="70"/>
      <w:r>
        <w:rPr>
          <w:rStyle w:val="26"/>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E5968"/>
    <w:multiLevelType w:val="singleLevel"/>
    <w:tmpl w:val="B93E596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AB94A42"/>
    <w:multiLevelType w:val="singleLevel"/>
    <w:tmpl w:val="0AB94A42"/>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BAA142B"/>
    <w:multiLevelType w:val="singleLevel"/>
    <w:tmpl w:val="1BAA142B"/>
    <w:lvl w:ilvl="0" w:tentative="0">
      <w:start w:val="2"/>
      <w:numFmt w:val="chineseCounting"/>
      <w:suff w:val="nothing"/>
      <w:lvlText w:val="（%1）"/>
      <w:lvlJc w:val="left"/>
      <w:rPr>
        <w:rFonts w:hint="eastAsia"/>
      </w:rPr>
    </w:lvl>
  </w:abstractNum>
  <w:abstractNum w:abstractNumId="7">
    <w:nsid w:val="3818A09A"/>
    <w:multiLevelType w:val="singleLevel"/>
    <w:tmpl w:val="3818A09A"/>
    <w:lvl w:ilvl="0" w:tentative="0">
      <w:start w:val="1"/>
      <w:numFmt w:val="chineseCounting"/>
      <w:suff w:val="nothing"/>
      <w:lvlText w:val="%1、"/>
      <w:lvlJc w:val="left"/>
      <w:rPr>
        <w:rFonts w:hint="eastAsia"/>
      </w:rPr>
    </w:lvl>
  </w:abstractNum>
  <w:abstractNum w:abstractNumId="8">
    <w:nsid w:val="3E794925"/>
    <w:multiLevelType w:val="singleLevel"/>
    <w:tmpl w:val="3E794925"/>
    <w:lvl w:ilvl="0" w:tentative="0">
      <w:start w:val="3"/>
      <w:numFmt w:val="chineseCounting"/>
      <w:suff w:val="nothing"/>
      <w:lvlText w:val="（%1）"/>
      <w:lvlJc w:val="left"/>
      <w:rPr>
        <w:rFonts w:hint="eastAsia"/>
      </w:rPr>
    </w:lvl>
  </w:abstractNum>
  <w:abstractNum w:abstractNumId="9">
    <w:nsid w:val="79FF6C9A"/>
    <w:multiLevelType w:val="singleLevel"/>
    <w:tmpl w:val="79FF6C9A"/>
    <w:lvl w:ilvl="0" w:tentative="0">
      <w:start w:val="4"/>
      <w:numFmt w:val="chineseCounting"/>
      <w:suff w:val="nothing"/>
      <w:lvlText w:val="（%1）"/>
      <w:lvlJc w:val="left"/>
      <w:rPr>
        <w:rFonts w:hint="eastAsia"/>
      </w:rPr>
    </w:lvl>
  </w:abstractNum>
  <w:num w:numId="1">
    <w:abstractNumId w:val="7"/>
  </w:num>
  <w:num w:numId="2">
    <w:abstractNumId w:val="5"/>
  </w:num>
  <w:num w:numId="3">
    <w:abstractNumId w:val="4"/>
  </w:num>
  <w:num w:numId="4">
    <w:abstractNumId w:val="1"/>
  </w:num>
  <w:num w:numId="5">
    <w:abstractNumId w:val="9"/>
  </w:num>
  <w:num w:numId="6">
    <w:abstractNumId w:val="3"/>
  </w:num>
  <w:num w:numId="7">
    <w:abstractNumId w:val="2"/>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WI3MDIyMjdkYzNiMDgwYzMxYzcxZTcyNjkyN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E1C78AB"/>
    <w:rsid w:val="0F6C3D39"/>
    <w:rsid w:val="10C055FF"/>
    <w:rsid w:val="118107EC"/>
    <w:rsid w:val="11DD6519"/>
    <w:rsid w:val="14F445C2"/>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6260A17"/>
    <w:rsid w:val="383D272C"/>
    <w:rsid w:val="39AE70AB"/>
    <w:rsid w:val="3AB25FE7"/>
    <w:rsid w:val="3C0C0783"/>
    <w:rsid w:val="3CC35212"/>
    <w:rsid w:val="3F846F25"/>
    <w:rsid w:val="3F9E5AC2"/>
    <w:rsid w:val="3F9F3A96"/>
    <w:rsid w:val="46FB541D"/>
    <w:rsid w:val="474B4782"/>
    <w:rsid w:val="48BF60AB"/>
    <w:rsid w:val="49247A9B"/>
    <w:rsid w:val="493C27E9"/>
    <w:rsid w:val="496F39ED"/>
    <w:rsid w:val="49FF41D3"/>
    <w:rsid w:val="4BE068DB"/>
    <w:rsid w:val="4BF6002B"/>
    <w:rsid w:val="4C3C28EB"/>
    <w:rsid w:val="4ECE2238"/>
    <w:rsid w:val="50704A07"/>
    <w:rsid w:val="50C01D3C"/>
    <w:rsid w:val="51DB4B86"/>
    <w:rsid w:val="54B97E6A"/>
    <w:rsid w:val="54FB77E7"/>
    <w:rsid w:val="55333C3E"/>
    <w:rsid w:val="570479D8"/>
    <w:rsid w:val="5C4763CB"/>
    <w:rsid w:val="5D777C27"/>
    <w:rsid w:val="60680017"/>
    <w:rsid w:val="625E6422"/>
    <w:rsid w:val="627938B4"/>
    <w:rsid w:val="628A03FC"/>
    <w:rsid w:val="64CA39A1"/>
    <w:rsid w:val="69630ADE"/>
    <w:rsid w:val="6A2F1121"/>
    <w:rsid w:val="6C4A05C8"/>
    <w:rsid w:val="6D3B1A89"/>
    <w:rsid w:val="6E9D5013"/>
    <w:rsid w:val="71BF4EC2"/>
    <w:rsid w:val="72734D90"/>
    <w:rsid w:val="7412278C"/>
    <w:rsid w:val="765413F4"/>
    <w:rsid w:val="79E7B28D"/>
    <w:rsid w:val="7EF9629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page number"/>
    <w:basedOn w:val="13"/>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3"/>
    <w:link w:val="2"/>
    <w:qFormat/>
    <w:uiPriority w:val="9"/>
    <w:rPr>
      <w:rFonts w:ascii="Times New Roman" w:hAnsi="Times New Roman"/>
      <w:b/>
      <w:bCs/>
      <w:kern w:val="44"/>
      <w:sz w:val="44"/>
      <w:szCs w:val="44"/>
    </w:rPr>
  </w:style>
  <w:style w:type="character" w:customStyle="1" w:styleId="26">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4"/>
    <w:qFormat/>
    <w:uiPriority w:val="9"/>
    <w:rPr>
      <w:rFonts w:ascii="Times New Roman" w:hAnsi="Times New Roman"/>
      <w:b/>
      <w:bCs/>
      <w:kern w:val="2"/>
      <w:sz w:val="32"/>
      <w:szCs w:val="32"/>
    </w:rPr>
  </w:style>
  <w:style w:type="paragraph" w:customStyle="1" w:styleId="3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列表段落1"/>
    <w:basedOn w:val="1"/>
    <w:qFormat/>
    <w:uiPriority w:val="34"/>
    <w:pPr>
      <w:ind w:firstLine="420" w:firstLineChars="200"/>
    </w:pPr>
  </w:style>
  <w:style w:type="character" w:customStyle="1" w:styleId="32">
    <w:name w:val="标题 2 字符"/>
    <w:basedOn w:val="13"/>
    <w:link w:val="3"/>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收支总额</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5184.73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收支总额</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6361.58</c:v>
                </c:pt>
              </c:numCache>
            </c:numRef>
          </c:val>
        </c:ser>
        <c:dLbls>
          <c:showLegendKey val="0"/>
          <c:showVal val="0"/>
          <c:showCatName val="0"/>
          <c:showSerName val="0"/>
          <c:showPercent val="0"/>
          <c:showBubbleSize val="0"/>
        </c:dLbls>
        <c:gapWidth val="246"/>
        <c:overlap val="-28"/>
        <c:axId val="386503701"/>
        <c:axId val="92104183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c15:sqref>
                        </c15:formulaRef>
                      </c:ext>
                    </c:extLst>
                    <c:strCache>
                      <c:ptCount val="1"/>
                      <c:pt idx="0">
                        <c:v>收支总额</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865037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1041836"/>
        <c:crosses val="autoZero"/>
        <c:auto val="1"/>
        <c:lblAlgn val="ctr"/>
        <c:lblOffset val="100"/>
        <c:noMultiLvlLbl val="0"/>
      </c:catAx>
      <c:valAx>
        <c:axId val="92104183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65037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dPt>
          <c:dLbls>
            <c:delete val="1"/>
          </c:dLbls>
          <c:cat>
            <c:strRef>
              <c:extLst>
                <c:ext xmlns:c15="http://schemas.microsoft.com/office/drawing/2012/chart" uri="{02D57815-91ED-43cb-92C2-25804820EDAC}">
                  <c15:fullRef>
                    <c15:sqref>Sheet1!$A$2:$A$5</c15:sqref>
                  </c15:fullRef>
                </c:ext>
              </c:extLst>
              <c:f>Sheet1!$A$2:$A$3</c:f>
              <c:strCache>
                <c:ptCount val="2"/>
                <c:pt idx="0">
                  <c:v>一般公共预算财政拨款收入</c:v>
                </c:pt>
                <c:pt idx="1">
                  <c:v>其他收入</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99.99</c:v>
                </c:pt>
                <c:pt idx="1">
                  <c:v>0.01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304503296457705"/>
          <c:y val="0.100930140510588"/>
          <c:w val="0.383506537043245"/>
          <c:h val="0.073619631901840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Sheet1!$A$3:$A$6</c15:sqref>
                  </c15:fullRef>
                </c:ext>
              </c:extLst>
              <c:f>Sheet1!$A$3:$A$4</c:f>
              <c:strCache>
                <c:ptCount val="2"/>
                <c:pt idx="0">
                  <c:v>项目支出</c:v>
                </c:pt>
                <c:pt idx="1">
                  <c:v>基本支出</c:v>
                </c:pt>
              </c:strCache>
            </c:strRef>
          </c:cat>
          <c:val>
            <c:numRef>
              <c:extLst>
                <c:ext xmlns:c15="http://schemas.microsoft.com/office/drawing/2012/chart" uri="{02D57815-91ED-43cb-92C2-25804820EDAC}">
                  <c15:fullRef>
                    <c15:sqref>Sheet1!$B$3:$B$6</c15:sqref>
                  </c15:fullRef>
                </c:ext>
              </c:extLst>
              <c:f>Sheet1!$B$3:$B$4</c:f>
              <c:numCache>
                <c:formatCode>General</c:formatCode>
                <c:ptCount val="2"/>
                <c:pt idx="0">
                  <c:v>1058.98</c:v>
                </c:pt>
                <c:pt idx="1">
                  <c:v>2120.52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收支数据</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5184.73</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收支数据</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6359</c:v>
                </c:pt>
              </c:numCache>
            </c:numRef>
          </c:val>
        </c:ser>
        <c:dLbls>
          <c:showLegendKey val="0"/>
          <c:showVal val="0"/>
          <c:showCatName val="0"/>
          <c:showSerName val="0"/>
          <c:showPercent val="0"/>
          <c:showBubbleSize val="0"/>
        </c:dLbls>
        <c:gapWidth val="246"/>
        <c:overlap val="-28"/>
        <c:axId val="998945947"/>
        <c:axId val="211524668"/>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c15:sqref>
                        </c15:formulaRef>
                      </c:ext>
                    </c:extLst>
                    <c:strCache>
                      <c:ptCount val="1"/>
                      <c:pt idx="0">
                        <c:v>收支数据</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998945947"/>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524668"/>
        <c:crosses val="autoZero"/>
        <c:auto val="1"/>
        <c:lblAlgn val="ctr"/>
        <c:lblOffset val="100"/>
        <c:noMultiLvlLbl val="0"/>
      </c:catAx>
      <c:valAx>
        <c:axId val="211524668"/>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89459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一般公共财政拨款支出</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2644.64</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一般公共财政拨款支出</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3179.5</c:v>
                </c:pt>
              </c:numCache>
            </c:numRef>
          </c:val>
        </c:ser>
        <c:dLbls>
          <c:showLegendKey val="0"/>
          <c:showVal val="0"/>
          <c:showCatName val="0"/>
          <c:showSerName val="0"/>
          <c:showPercent val="0"/>
          <c:showBubbleSize val="0"/>
        </c:dLbls>
        <c:gapWidth val="246"/>
        <c:overlap val="-28"/>
        <c:axId val="236990953"/>
        <c:axId val="653533553"/>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c15:sqref>
                        </c15:formulaRef>
                      </c:ext>
                    </c:extLst>
                    <c:strCache>
                      <c:ptCount val="1"/>
                      <c:pt idx="0">
                        <c:v>一般公共财政拨款支出</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2369909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533553"/>
        <c:crosses val="autoZero"/>
        <c:auto val="1"/>
        <c:lblAlgn val="ctr"/>
        <c:lblOffset val="100"/>
        <c:noMultiLvlLbl val="0"/>
      </c:catAx>
      <c:valAx>
        <c:axId val="653533553"/>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69909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a:t>
            </a: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住房保障支出</c:v>
                </c:pt>
                <c:pt idx="3">
                  <c:v>农林水支出</c:v>
                </c:pt>
              </c:strCache>
            </c:strRef>
          </c:cat>
          <c:val>
            <c:numRef>
              <c:f>Sheet1!$B$2:$B$5</c:f>
              <c:numCache>
                <c:formatCode>General</c:formatCode>
                <c:ptCount val="4"/>
                <c:pt idx="0">
                  <c:v>464.56</c:v>
                </c:pt>
                <c:pt idx="1">
                  <c:v>123.55</c:v>
                </c:pt>
                <c:pt idx="2">
                  <c:v>138.38</c:v>
                </c:pt>
                <c:pt idx="3">
                  <c:v>2453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三公经费</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公务用车运行维护费</c:v>
                </c:pt>
                <c:pt idx="1">
                  <c:v>公务接待</c:v>
                </c:pt>
              </c:strCache>
            </c:strRef>
          </c:cat>
          <c:val>
            <c:numRef>
              <c:f>Sheet1!$B$2:$B$5</c:f>
              <c:numCache>
                <c:formatCode>General</c:formatCode>
                <c:ptCount val="4"/>
                <c:pt idx="0">
                  <c:v>55.58</c:v>
                </c:pt>
                <c:pt idx="1">
                  <c:v>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8</TotalTime>
  <ScaleCrop>false</ScaleCrop>
  <LinksUpToDate>false</LinksUpToDate>
  <CharactersWithSpaces>8692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有个地方15708434432</cp:lastModifiedBy>
  <cp:lastPrinted>2023-07-31T02:35:00Z</cp:lastPrinted>
  <dcterms:modified xsi:type="dcterms:W3CDTF">2023-09-26T02:35:45Z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F88BE0A38BF243D1BE94C14857A75DAB_13</vt:lpwstr>
  </property>
</Properties>
</file>